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A0FA8" w14:textId="34ABD5E7" w:rsidR="008C7222" w:rsidRDefault="008C7222" w:rsidP="008C7222">
      <w:bookmarkStart w:id="0" w:name="_Toc9252601"/>
      <w:bookmarkStart w:id="1" w:name="_Toc9321276"/>
      <w:r>
        <w:rPr>
          <w:noProof/>
          <w:lang w:eastAsia="en-AU"/>
        </w:rPr>
        <w:drawing>
          <wp:inline distT="0" distB="0" distL="0" distR="0" wp14:anchorId="03C95030" wp14:editId="5D15FFC7">
            <wp:extent cx="1739767"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9767" cy="571500"/>
                    </a:xfrm>
                    <a:prstGeom prst="rect">
                      <a:avLst/>
                    </a:prstGeom>
                  </pic:spPr>
                </pic:pic>
              </a:graphicData>
            </a:graphic>
          </wp:inline>
        </w:drawing>
      </w:r>
    </w:p>
    <w:p w14:paraId="2F326474" w14:textId="77777777" w:rsidR="008C7222" w:rsidRPr="008C7222" w:rsidRDefault="008C7222" w:rsidP="008C7222"/>
    <w:p w14:paraId="4C8FC447" w14:textId="77777777" w:rsidR="009708A1" w:rsidRDefault="009708A1" w:rsidP="00C226D0">
      <w:pPr>
        <w:pStyle w:val="Subtitle"/>
        <w:rPr>
          <w:rFonts w:ascii="Arial" w:hAnsi="Arial" w:cs="Arial"/>
          <w:b/>
          <w:bCs/>
          <w:color w:val="auto"/>
          <w:sz w:val="24"/>
          <w:szCs w:val="24"/>
        </w:rPr>
      </w:pPr>
    </w:p>
    <w:p w14:paraId="50F26412" w14:textId="3EFDB691" w:rsidR="0040732E" w:rsidRPr="00DA6B27" w:rsidRDefault="004D7E5A" w:rsidP="00C226D0">
      <w:pPr>
        <w:pStyle w:val="Subtitle"/>
        <w:rPr>
          <w:rFonts w:ascii="Arial" w:hAnsi="Arial" w:cs="Arial"/>
          <w:b/>
          <w:bCs/>
          <w:color w:val="auto"/>
          <w:sz w:val="24"/>
          <w:szCs w:val="24"/>
        </w:rPr>
      </w:pPr>
      <w:r w:rsidRPr="00DA6B27">
        <w:rPr>
          <w:rFonts w:ascii="Arial" w:hAnsi="Arial" w:cs="Arial"/>
          <w:b/>
          <w:bCs/>
          <w:color w:val="auto"/>
          <w:sz w:val="24"/>
          <w:szCs w:val="24"/>
        </w:rPr>
        <w:t>University Policy on</w:t>
      </w:r>
      <w:r w:rsidR="008654C3">
        <w:rPr>
          <w:rFonts w:ascii="Arial" w:hAnsi="Arial" w:cs="Arial"/>
          <w:b/>
          <w:bCs/>
          <w:color w:val="auto"/>
          <w:sz w:val="24"/>
          <w:szCs w:val="24"/>
        </w:rPr>
        <w:t xml:space="preserve"> Academic Quality </w:t>
      </w:r>
      <w:r w:rsidR="00CD690D">
        <w:rPr>
          <w:rFonts w:ascii="Arial" w:hAnsi="Arial" w:cs="Arial"/>
          <w:b/>
          <w:bCs/>
          <w:color w:val="auto"/>
          <w:sz w:val="24"/>
          <w:szCs w:val="24"/>
        </w:rPr>
        <w:t>Assurance</w:t>
      </w:r>
      <w:r w:rsidR="008654C3">
        <w:rPr>
          <w:rFonts w:ascii="Arial" w:hAnsi="Arial" w:cs="Arial"/>
          <w:b/>
          <w:bCs/>
          <w:color w:val="auto"/>
          <w:sz w:val="24"/>
          <w:szCs w:val="24"/>
        </w:rPr>
        <w:t xml:space="preserve"> Framework</w:t>
      </w:r>
    </w:p>
    <w:tbl>
      <w:tblPr>
        <w:tblStyle w:val="TableGrid"/>
        <w:tblW w:w="4946" w:type="pct"/>
        <w:tblLook w:val="04A0" w:firstRow="1" w:lastRow="0" w:firstColumn="1" w:lastColumn="0" w:noHBand="0" w:noVBand="1"/>
      </w:tblPr>
      <w:tblGrid>
        <w:gridCol w:w="2547"/>
        <w:gridCol w:w="6977"/>
      </w:tblGrid>
      <w:tr w:rsidR="004D7E5A" w:rsidRPr="009D4A07" w14:paraId="073810E5"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3544AF68" w14:textId="56A9A567" w:rsidR="004D7E5A" w:rsidRPr="009D4A07" w:rsidRDefault="004D7E5A" w:rsidP="004D7E5A">
            <w:pPr>
              <w:pStyle w:val="Style1"/>
              <w:spacing w:before="0" w:after="0"/>
              <w:rPr>
                <w:sz w:val="20"/>
                <w:szCs w:val="20"/>
              </w:rPr>
            </w:pPr>
            <w:r w:rsidRPr="009D4A07">
              <w:rPr>
                <w:sz w:val="20"/>
                <w:szCs w:val="20"/>
              </w:rPr>
              <w:t>Policy Approver:</w:t>
            </w:r>
          </w:p>
        </w:tc>
        <w:tc>
          <w:tcPr>
            <w:tcW w:w="3663" w:type="pct"/>
            <w:tcBorders>
              <w:top w:val="single" w:sz="4" w:space="0" w:color="000000"/>
              <w:left w:val="single" w:sz="4" w:space="0" w:color="000000"/>
              <w:bottom w:val="single" w:sz="4" w:space="0" w:color="000000"/>
              <w:right w:val="single" w:sz="4" w:space="0" w:color="000000"/>
            </w:tcBorders>
          </w:tcPr>
          <w:p w14:paraId="2709FCC7" w14:textId="3BF4A3D0" w:rsidR="004D7E5A" w:rsidRPr="004D7E5A" w:rsidRDefault="004D7E5A" w:rsidP="004D7E5A">
            <w:pPr>
              <w:pStyle w:val="Style1"/>
              <w:spacing w:before="0" w:after="0"/>
              <w:rPr>
                <w:b w:val="0"/>
                <w:sz w:val="20"/>
                <w:szCs w:val="20"/>
              </w:rPr>
            </w:pPr>
            <w:r w:rsidRPr="004D7E5A">
              <w:rPr>
                <w:b w:val="0"/>
                <w:sz w:val="20"/>
                <w:szCs w:val="20"/>
              </w:rPr>
              <w:t>Academic Board</w:t>
            </w:r>
          </w:p>
        </w:tc>
      </w:tr>
      <w:tr w:rsidR="004D7E5A" w:rsidRPr="009D4A07" w14:paraId="2B886E10"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0CECCCBA" w14:textId="0F58C392" w:rsidR="004D7E5A" w:rsidRPr="009D4A07" w:rsidRDefault="004D7E5A" w:rsidP="004D7E5A">
            <w:pPr>
              <w:pStyle w:val="Style1"/>
              <w:spacing w:before="0" w:after="0"/>
              <w:rPr>
                <w:sz w:val="20"/>
                <w:szCs w:val="20"/>
              </w:rPr>
            </w:pPr>
            <w:r w:rsidRPr="009D4A07">
              <w:rPr>
                <w:sz w:val="20"/>
                <w:szCs w:val="20"/>
              </w:rPr>
              <w:t>Policy Steward:</w:t>
            </w:r>
          </w:p>
        </w:tc>
        <w:tc>
          <w:tcPr>
            <w:tcW w:w="3663" w:type="pct"/>
            <w:tcBorders>
              <w:top w:val="single" w:sz="4" w:space="0" w:color="000000"/>
              <w:left w:val="single" w:sz="4" w:space="0" w:color="000000"/>
              <w:bottom w:val="single" w:sz="4" w:space="0" w:color="000000"/>
              <w:right w:val="single" w:sz="4" w:space="0" w:color="000000"/>
            </w:tcBorders>
          </w:tcPr>
          <w:p w14:paraId="7376C380" w14:textId="7E0959BB" w:rsidR="004D7E5A" w:rsidRPr="004D7E5A" w:rsidRDefault="00AD6A30" w:rsidP="00AB6029">
            <w:pPr>
              <w:pStyle w:val="Style1"/>
              <w:spacing w:before="0" w:after="0"/>
              <w:rPr>
                <w:b w:val="0"/>
                <w:sz w:val="20"/>
                <w:szCs w:val="20"/>
              </w:rPr>
            </w:pPr>
            <w:r>
              <w:rPr>
                <w:b w:val="0"/>
                <w:sz w:val="20"/>
                <w:szCs w:val="20"/>
              </w:rPr>
              <w:t>Chair of Academic Board</w:t>
            </w:r>
          </w:p>
        </w:tc>
      </w:tr>
      <w:tr w:rsidR="004D7E5A" w:rsidRPr="009D4A07" w14:paraId="74B2C9EE"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2BF3211F" w14:textId="4EE618FA" w:rsidR="004D7E5A" w:rsidRPr="009D4A07" w:rsidRDefault="005A4C9C" w:rsidP="004D7E5A">
            <w:pPr>
              <w:pStyle w:val="Style1"/>
              <w:spacing w:before="0" w:after="0"/>
              <w:rPr>
                <w:sz w:val="20"/>
                <w:szCs w:val="20"/>
              </w:rPr>
            </w:pPr>
            <w:r>
              <w:rPr>
                <w:sz w:val="20"/>
                <w:szCs w:val="20"/>
              </w:rPr>
              <w:t xml:space="preserve">Author and </w:t>
            </w:r>
            <w:r w:rsidR="004D7E5A" w:rsidRPr="009D4A07">
              <w:rPr>
                <w:sz w:val="20"/>
                <w:szCs w:val="20"/>
              </w:rPr>
              <w:t>Policy Administrator:</w:t>
            </w:r>
          </w:p>
        </w:tc>
        <w:tc>
          <w:tcPr>
            <w:tcW w:w="3663" w:type="pct"/>
            <w:tcBorders>
              <w:top w:val="single" w:sz="4" w:space="0" w:color="000000"/>
              <w:left w:val="single" w:sz="4" w:space="0" w:color="000000"/>
              <w:bottom w:val="single" w:sz="4" w:space="0" w:color="000000"/>
              <w:right w:val="single" w:sz="4" w:space="0" w:color="000000"/>
            </w:tcBorders>
          </w:tcPr>
          <w:p w14:paraId="294A7CC7" w14:textId="4DDDB575" w:rsidR="004D7E5A" w:rsidRPr="004D7E5A" w:rsidRDefault="004D7E5A" w:rsidP="004D7E5A">
            <w:pPr>
              <w:pStyle w:val="Style1"/>
              <w:spacing w:before="0" w:after="0"/>
              <w:rPr>
                <w:b w:val="0"/>
                <w:sz w:val="20"/>
                <w:szCs w:val="20"/>
              </w:rPr>
            </w:pPr>
            <w:r w:rsidRPr="004D7E5A">
              <w:rPr>
                <w:b w:val="0"/>
                <w:sz w:val="20"/>
                <w:szCs w:val="20"/>
              </w:rPr>
              <w:t>Academic Secretary</w:t>
            </w:r>
          </w:p>
        </w:tc>
      </w:tr>
      <w:tr w:rsidR="004D7E5A" w:rsidRPr="009D4A07" w14:paraId="64E6D4F4"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09F9A840" w14:textId="3A16ADCA" w:rsidR="004D7E5A" w:rsidRPr="009D4A07" w:rsidRDefault="004D7E5A" w:rsidP="004D7E5A">
            <w:pPr>
              <w:pStyle w:val="Style1"/>
              <w:spacing w:before="0" w:after="0"/>
              <w:rPr>
                <w:sz w:val="20"/>
                <w:szCs w:val="20"/>
              </w:rPr>
            </w:pPr>
            <w:r>
              <w:rPr>
                <w:sz w:val="20"/>
                <w:szCs w:val="20"/>
              </w:rPr>
              <w:t>TRIM File #:</w:t>
            </w:r>
          </w:p>
        </w:tc>
        <w:tc>
          <w:tcPr>
            <w:tcW w:w="3663" w:type="pct"/>
            <w:tcBorders>
              <w:top w:val="single" w:sz="4" w:space="0" w:color="000000"/>
              <w:left w:val="single" w:sz="4" w:space="0" w:color="000000"/>
              <w:bottom w:val="single" w:sz="4" w:space="0" w:color="000000"/>
              <w:right w:val="single" w:sz="4" w:space="0" w:color="000000"/>
            </w:tcBorders>
          </w:tcPr>
          <w:p w14:paraId="49B84B3C" w14:textId="03FD7C37" w:rsidR="004D7E5A" w:rsidRPr="004D7E5A" w:rsidRDefault="00EE2F7D" w:rsidP="004D7E5A">
            <w:pPr>
              <w:pStyle w:val="Style1"/>
              <w:spacing w:before="0" w:after="0"/>
              <w:rPr>
                <w:b w:val="0"/>
                <w:sz w:val="20"/>
                <w:szCs w:val="20"/>
              </w:rPr>
            </w:pPr>
            <w:r>
              <w:rPr>
                <w:b w:val="0"/>
                <w:sz w:val="20"/>
                <w:szCs w:val="20"/>
              </w:rPr>
              <w:t>F22/613</w:t>
            </w:r>
          </w:p>
        </w:tc>
      </w:tr>
      <w:tr w:rsidR="004D7E5A" w:rsidRPr="009D4A07" w14:paraId="1523F79F"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06848DA7" w14:textId="4FDBC85D" w:rsidR="004D7E5A" w:rsidRPr="009D4A07" w:rsidRDefault="004D7E5A" w:rsidP="004D7E5A">
            <w:pPr>
              <w:pStyle w:val="Style1"/>
              <w:spacing w:before="0" w:after="0"/>
              <w:rPr>
                <w:sz w:val="20"/>
                <w:szCs w:val="20"/>
              </w:rPr>
            </w:pPr>
            <w:r w:rsidRPr="009D4A07">
              <w:rPr>
                <w:sz w:val="20"/>
                <w:szCs w:val="20"/>
              </w:rPr>
              <w:t>Policy No:</w:t>
            </w:r>
          </w:p>
        </w:tc>
        <w:tc>
          <w:tcPr>
            <w:tcW w:w="3663" w:type="pct"/>
            <w:tcBorders>
              <w:top w:val="single" w:sz="4" w:space="0" w:color="000000"/>
              <w:left w:val="single" w:sz="4" w:space="0" w:color="000000"/>
              <w:bottom w:val="single" w:sz="4" w:space="0" w:color="000000"/>
              <w:right w:val="single" w:sz="4" w:space="0" w:color="000000"/>
            </w:tcBorders>
          </w:tcPr>
          <w:p w14:paraId="263B008F" w14:textId="6275FA25" w:rsidR="004D7E5A" w:rsidRPr="004D7E5A" w:rsidRDefault="00EE2F7D" w:rsidP="004D7E5A">
            <w:pPr>
              <w:pStyle w:val="Style1"/>
              <w:spacing w:before="0" w:after="0"/>
              <w:rPr>
                <w:b w:val="0"/>
                <w:sz w:val="20"/>
                <w:szCs w:val="20"/>
              </w:rPr>
            </w:pPr>
            <w:r>
              <w:rPr>
                <w:b w:val="0"/>
                <w:sz w:val="20"/>
                <w:szCs w:val="20"/>
              </w:rPr>
              <w:t>UP22/1</w:t>
            </w:r>
          </w:p>
        </w:tc>
      </w:tr>
      <w:tr w:rsidR="004D7E5A" w:rsidRPr="009D4A07" w14:paraId="42169481"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1FDF49F5" w14:textId="5E7C42A3" w:rsidR="004D7E5A" w:rsidRPr="009D4A07" w:rsidRDefault="004D7E5A" w:rsidP="004D7E5A">
            <w:pPr>
              <w:pStyle w:val="Style1"/>
              <w:spacing w:before="0" w:after="0"/>
              <w:rPr>
                <w:sz w:val="20"/>
                <w:szCs w:val="20"/>
              </w:rPr>
            </w:pPr>
            <w:r>
              <w:rPr>
                <w:sz w:val="20"/>
                <w:szCs w:val="20"/>
              </w:rPr>
              <w:t>Approval Date:</w:t>
            </w:r>
          </w:p>
        </w:tc>
        <w:tc>
          <w:tcPr>
            <w:tcW w:w="3663" w:type="pct"/>
            <w:tcBorders>
              <w:top w:val="single" w:sz="4" w:space="0" w:color="000000"/>
              <w:left w:val="single" w:sz="4" w:space="0" w:color="000000"/>
              <w:bottom w:val="single" w:sz="4" w:space="0" w:color="000000"/>
              <w:right w:val="single" w:sz="4" w:space="0" w:color="000000"/>
            </w:tcBorders>
          </w:tcPr>
          <w:p w14:paraId="54250283" w14:textId="3D74F1F3" w:rsidR="004D7E5A" w:rsidRPr="004D7E5A" w:rsidRDefault="00885DC9" w:rsidP="004D7E5A">
            <w:pPr>
              <w:pStyle w:val="Style1"/>
              <w:spacing w:before="0" w:after="0"/>
              <w:rPr>
                <w:b w:val="0"/>
                <w:sz w:val="20"/>
                <w:szCs w:val="20"/>
              </w:rPr>
            </w:pPr>
            <w:r>
              <w:rPr>
                <w:b w:val="0"/>
                <w:sz w:val="20"/>
                <w:szCs w:val="20"/>
              </w:rPr>
              <w:t>20 April 2022</w:t>
            </w:r>
          </w:p>
        </w:tc>
      </w:tr>
      <w:tr w:rsidR="004D7E5A" w:rsidRPr="009D4A07" w14:paraId="6795F11B" w14:textId="77777777" w:rsidTr="00E61D39">
        <w:tc>
          <w:tcPr>
            <w:tcW w:w="1337" w:type="pct"/>
            <w:tcBorders>
              <w:top w:val="single" w:sz="4" w:space="0" w:color="000000"/>
              <w:left w:val="single" w:sz="4" w:space="0" w:color="000000"/>
              <w:bottom w:val="single" w:sz="4" w:space="0" w:color="000000"/>
              <w:right w:val="single" w:sz="4" w:space="0" w:color="000000"/>
            </w:tcBorders>
          </w:tcPr>
          <w:p w14:paraId="6E3EEB36" w14:textId="4C2D74A5" w:rsidR="004D7E5A" w:rsidRDefault="004D7E5A" w:rsidP="004D7E5A">
            <w:pPr>
              <w:pStyle w:val="Style1"/>
              <w:spacing w:before="0" w:after="0"/>
              <w:rPr>
                <w:sz w:val="20"/>
                <w:szCs w:val="20"/>
              </w:rPr>
            </w:pPr>
            <w:r>
              <w:rPr>
                <w:sz w:val="20"/>
                <w:szCs w:val="20"/>
              </w:rPr>
              <w:t>Assessment Date:</w:t>
            </w:r>
          </w:p>
        </w:tc>
        <w:tc>
          <w:tcPr>
            <w:tcW w:w="3663" w:type="pct"/>
            <w:tcBorders>
              <w:top w:val="single" w:sz="4" w:space="0" w:color="000000"/>
              <w:left w:val="single" w:sz="4" w:space="0" w:color="000000"/>
              <w:bottom w:val="single" w:sz="4" w:space="0" w:color="000000"/>
              <w:right w:val="single" w:sz="4" w:space="0" w:color="000000"/>
            </w:tcBorders>
          </w:tcPr>
          <w:p w14:paraId="7ED25F10" w14:textId="054382E7" w:rsidR="004D7E5A" w:rsidRPr="004D7E5A" w:rsidRDefault="004A6217" w:rsidP="004D7E5A">
            <w:pPr>
              <w:pStyle w:val="Style1"/>
              <w:spacing w:before="0" w:after="0"/>
              <w:rPr>
                <w:b w:val="0"/>
                <w:sz w:val="20"/>
                <w:szCs w:val="20"/>
              </w:rPr>
            </w:pPr>
            <w:r>
              <w:rPr>
                <w:b w:val="0"/>
                <w:sz w:val="20"/>
                <w:szCs w:val="20"/>
              </w:rPr>
              <w:t>20 April 2025</w:t>
            </w:r>
          </w:p>
        </w:tc>
      </w:tr>
    </w:tbl>
    <w:p w14:paraId="5E507917" w14:textId="63364A00" w:rsidR="004E4D9B" w:rsidRDefault="004E4D9B" w:rsidP="004E4D9B">
      <w:bookmarkStart w:id="2" w:name="_Toc47619462"/>
      <w:bookmarkEnd w:id="0"/>
      <w:bookmarkEnd w:id="1"/>
    </w:p>
    <w:p w14:paraId="34C1CFC5" w14:textId="77777777" w:rsidR="008336F4" w:rsidRPr="004E4D9B" w:rsidRDefault="008336F4" w:rsidP="004E4D9B"/>
    <w:p w14:paraId="1F0B0F05" w14:textId="17A64EA9" w:rsidR="00FC4989" w:rsidRPr="005E16DD" w:rsidRDefault="00FC4989" w:rsidP="00E97F7F">
      <w:pPr>
        <w:pStyle w:val="Heading1"/>
        <w:spacing w:before="120"/>
      </w:pPr>
      <w:r w:rsidRPr="004D1D86">
        <w:t>Purpose</w:t>
      </w:r>
      <w:bookmarkEnd w:id="2"/>
    </w:p>
    <w:p w14:paraId="155AE2E7" w14:textId="77777777" w:rsidR="00817BBE" w:rsidRDefault="00817BBE" w:rsidP="00817BBE">
      <w:pPr>
        <w:pStyle w:val="Heading2"/>
        <w:numPr>
          <w:ilvl w:val="0"/>
          <w:numId w:val="0"/>
        </w:numPr>
        <w:spacing w:before="0"/>
        <w:ind w:left="578"/>
        <w:jc w:val="both"/>
        <w:rPr>
          <w:rFonts w:cs="Arial"/>
          <w:szCs w:val="20"/>
        </w:rPr>
      </w:pPr>
    </w:p>
    <w:p w14:paraId="23D92AE7" w14:textId="0B108F6C" w:rsidR="00611313" w:rsidRDefault="002543F1" w:rsidP="00170DD2">
      <w:pPr>
        <w:pStyle w:val="Heading2"/>
        <w:spacing w:before="0"/>
        <w:ind w:left="578" w:hanging="578"/>
        <w:jc w:val="both"/>
        <w:rPr>
          <w:rFonts w:cs="Arial"/>
          <w:szCs w:val="20"/>
        </w:rPr>
      </w:pPr>
      <w:r>
        <w:rPr>
          <w:rFonts w:cs="Arial"/>
          <w:szCs w:val="20"/>
        </w:rPr>
        <w:t>T</w:t>
      </w:r>
      <w:r w:rsidR="00FA7937">
        <w:rPr>
          <w:rFonts w:cs="Arial"/>
          <w:szCs w:val="20"/>
        </w:rPr>
        <w:t xml:space="preserve">he University </w:t>
      </w:r>
      <w:r>
        <w:rPr>
          <w:rFonts w:cs="Arial"/>
          <w:szCs w:val="20"/>
        </w:rPr>
        <w:t xml:space="preserve">is committed to ensuring </w:t>
      </w:r>
      <w:r w:rsidR="00FA7937">
        <w:rPr>
          <w:rFonts w:cs="Arial"/>
          <w:szCs w:val="20"/>
        </w:rPr>
        <w:t xml:space="preserve">that there is </w:t>
      </w:r>
      <w:r w:rsidR="00380A08">
        <w:rPr>
          <w:rFonts w:cs="Arial"/>
          <w:szCs w:val="20"/>
        </w:rPr>
        <w:t xml:space="preserve">an </w:t>
      </w:r>
      <w:r w:rsidR="00FA7937" w:rsidRPr="00611313">
        <w:rPr>
          <w:rFonts w:cs="Arial"/>
          <w:szCs w:val="20"/>
        </w:rPr>
        <w:t xml:space="preserve">oversight of academic quality assurance </w:t>
      </w:r>
      <w:r w:rsidR="00FA7937">
        <w:rPr>
          <w:rFonts w:cs="Arial"/>
          <w:szCs w:val="20"/>
        </w:rPr>
        <w:t>to:</w:t>
      </w:r>
      <w:r w:rsidR="00611313" w:rsidRPr="00611313">
        <w:rPr>
          <w:rFonts w:cs="Arial"/>
          <w:szCs w:val="20"/>
        </w:rPr>
        <w:t xml:space="preserve"> </w:t>
      </w:r>
    </w:p>
    <w:p w14:paraId="3AF4568E" w14:textId="174E7EE0" w:rsidR="000A45C0" w:rsidRDefault="00611313" w:rsidP="0063476B">
      <w:pPr>
        <w:pStyle w:val="Heading2"/>
        <w:numPr>
          <w:ilvl w:val="0"/>
          <w:numId w:val="9"/>
        </w:numPr>
        <w:spacing w:before="0"/>
        <w:jc w:val="both"/>
        <w:rPr>
          <w:rFonts w:cs="Arial"/>
          <w:szCs w:val="20"/>
        </w:rPr>
      </w:pPr>
      <w:r w:rsidRPr="00611313">
        <w:rPr>
          <w:rFonts w:cs="Arial"/>
          <w:szCs w:val="20"/>
        </w:rPr>
        <w:t>ensure the integrity and quality of its status as a higher education provider</w:t>
      </w:r>
      <w:r w:rsidR="000A45C0">
        <w:rPr>
          <w:rFonts w:cs="Arial"/>
          <w:szCs w:val="20"/>
        </w:rPr>
        <w:t xml:space="preserve">; </w:t>
      </w:r>
    </w:p>
    <w:p w14:paraId="2C751B38" w14:textId="10CCE72A" w:rsidR="000A45C0" w:rsidRDefault="000A45C0" w:rsidP="0063476B">
      <w:pPr>
        <w:pStyle w:val="Heading2"/>
        <w:numPr>
          <w:ilvl w:val="0"/>
          <w:numId w:val="9"/>
        </w:numPr>
        <w:spacing w:before="0"/>
        <w:jc w:val="both"/>
        <w:rPr>
          <w:rFonts w:cs="Arial"/>
          <w:szCs w:val="20"/>
        </w:rPr>
      </w:pPr>
      <w:r w:rsidRPr="000A45C0">
        <w:rPr>
          <w:rFonts w:cs="Arial"/>
          <w:szCs w:val="20"/>
        </w:rPr>
        <w:t>meet the University’s legislative and regulatory requirements</w:t>
      </w:r>
      <w:r w:rsidR="006804C8">
        <w:rPr>
          <w:rFonts w:cs="Arial"/>
          <w:szCs w:val="20"/>
        </w:rPr>
        <w:t>;</w:t>
      </w:r>
      <w:r w:rsidRPr="000A45C0">
        <w:rPr>
          <w:rFonts w:cs="Arial"/>
          <w:szCs w:val="20"/>
        </w:rPr>
        <w:t xml:space="preserve"> and </w:t>
      </w:r>
    </w:p>
    <w:p w14:paraId="570262B9" w14:textId="6E5ABD9A" w:rsidR="00611313" w:rsidRDefault="000A45C0" w:rsidP="0063476B">
      <w:pPr>
        <w:pStyle w:val="Heading2"/>
        <w:numPr>
          <w:ilvl w:val="0"/>
          <w:numId w:val="9"/>
        </w:numPr>
        <w:spacing w:before="0"/>
        <w:jc w:val="both"/>
        <w:rPr>
          <w:rFonts w:cs="Arial"/>
          <w:szCs w:val="20"/>
        </w:rPr>
      </w:pPr>
      <w:r w:rsidRPr="000A45C0">
        <w:rPr>
          <w:rFonts w:cs="Arial"/>
          <w:szCs w:val="20"/>
        </w:rPr>
        <w:t>promote and support the achievement of high standards</w:t>
      </w:r>
      <w:r w:rsidR="00611313" w:rsidRPr="00611313">
        <w:rPr>
          <w:rFonts w:cs="Arial"/>
          <w:szCs w:val="20"/>
        </w:rPr>
        <w:t>.</w:t>
      </w:r>
    </w:p>
    <w:p w14:paraId="2A28A878" w14:textId="77777777" w:rsidR="00817BBE" w:rsidRPr="00817BBE" w:rsidRDefault="00817BBE" w:rsidP="00817BBE">
      <w:pPr>
        <w:rPr>
          <w:lang w:eastAsia="en-AU"/>
        </w:rPr>
      </w:pPr>
    </w:p>
    <w:p w14:paraId="592ED3FD" w14:textId="74D3D03E" w:rsidR="00A066C6" w:rsidRDefault="00611313" w:rsidP="00A066C6">
      <w:pPr>
        <w:pStyle w:val="Heading2"/>
        <w:spacing w:before="0"/>
        <w:ind w:left="578" w:hanging="578"/>
        <w:jc w:val="both"/>
        <w:rPr>
          <w:rFonts w:cs="Arial"/>
          <w:szCs w:val="20"/>
        </w:rPr>
      </w:pPr>
      <w:r w:rsidRPr="000A45C0">
        <w:rPr>
          <w:rFonts w:cs="Arial"/>
          <w:szCs w:val="20"/>
        </w:rPr>
        <w:t xml:space="preserve">The </w:t>
      </w:r>
      <w:r w:rsidR="005A4C9C" w:rsidRPr="000A45C0">
        <w:rPr>
          <w:rFonts w:cs="Arial"/>
          <w:szCs w:val="20"/>
        </w:rPr>
        <w:t xml:space="preserve">University </w:t>
      </w:r>
      <w:r w:rsidRPr="000A45C0">
        <w:rPr>
          <w:rFonts w:cs="Arial"/>
          <w:szCs w:val="20"/>
        </w:rPr>
        <w:t xml:space="preserve">has an Academic Quality Assurance Framework (AQAF) </w:t>
      </w:r>
      <w:r w:rsidR="000A45C0" w:rsidRPr="000A45C0">
        <w:rPr>
          <w:rFonts w:cs="Arial"/>
          <w:szCs w:val="20"/>
        </w:rPr>
        <w:t>underpinned by policies and procedures and a regular cycle of</w:t>
      </w:r>
      <w:r w:rsidR="00A066C6">
        <w:rPr>
          <w:rFonts w:cs="Arial"/>
          <w:szCs w:val="20"/>
        </w:rPr>
        <w:t xml:space="preserve"> </w:t>
      </w:r>
      <w:r w:rsidR="000A45C0" w:rsidRPr="000A45C0">
        <w:rPr>
          <w:rFonts w:cs="Arial"/>
          <w:szCs w:val="20"/>
        </w:rPr>
        <w:t>planning, implementation</w:t>
      </w:r>
      <w:r w:rsidR="00380A08">
        <w:rPr>
          <w:rFonts w:cs="Arial"/>
          <w:szCs w:val="20"/>
        </w:rPr>
        <w:t>,</w:t>
      </w:r>
      <w:r w:rsidR="000A45C0" w:rsidRPr="000A45C0">
        <w:rPr>
          <w:rFonts w:cs="Arial"/>
          <w:szCs w:val="20"/>
        </w:rPr>
        <w:t xml:space="preserve"> monitoring, reporting</w:t>
      </w:r>
      <w:r w:rsidR="00380A08">
        <w:rPr>
          <w:rFonts w:cs="Arial"/>
          <w:szCs w:val="20"/>
        </w:rPr>
        <w:t xml:space="preserve">, </w:t>
      </w:r>
      <w:r w:rsidR="000A45C0" w:rsidRPr="000A45C0">
        <w:rPr>
          <w:rFonts w:cs="Arial"/>
          <w:szCs w:val="20"/>
        </w:rPr>
        <w:t xml:space="preserve">reviewing </w:t>
      </w:r>
      <w:r w:rsidR="00A066C6">
        <w:rPr>
          <w:rFonts w:cs="Arial"/>
          <w:szCs w:val="20"/>
        </w:rPr>
        <w:t>and</w:t>
      </w:r>
      <w:r w:rsidR="000A45C0" w:rsidRPr="000A45C0">
        <w:rPr>
          <w:rFonts w:cs="Arial"/>
          <w:szCs w:val="20"/>
        </w:rPr>
        <w:t xml:space="preserve"> performance</w:t>
      </w:r>
      <w:r w:rsidR="00A066C6">
        <w:rPr>
          <w:rFonts w:cs="Arial"/>
          <w:szCs w:val="20"/>
        </w:rPr>
        <w:t xml:space="preserve"> </w:t>
      </w:r>
      <w:r w:rsidR="000A45C0" w:rsidRPr="000A45C0">
        <w:rPr>
          <w:rFonts w:cs="Arial"/>
          <w:szCs w:val="20"/>
        </w:rPr>
        <w:t>enhancement</w:t>
      </w:r>
      <w:r w:rsidR="00A066C6">
        <w:rPr>
          <w:rFonts w:cs="Arial"/>
          <w:szCs w:val="20"/>
        </w:rPr>
        <w:t xml:space="preserve"> </w:t>
      </w:r>
      <w:r w:rsidR="00A066C6" w:rsidRPr="00A066C6">
        <w:rPr>
          <w:rFonts w:cs="Arial"/>
          <w:szCs w:val="20"/>
        </w:rPr>
        <w:t>that collectively achieve effective academic oversight of the academic quality of teaching, learning, research, improvement of the content, delivery and assessment of all of its Higher Education courses</w:t>
      </w:r>
      <w:r w:rsidR="00A066C6">
        <w:rPr>
          <w:rFonts w:cs="Arial"/>
          <w:szCs w:val="20"/>
        </w:rPr>
        <w:t>, and the student experience</w:t>
      </w:r>
      <w:r w:rsidR="00A066C6" w:rsidRPr="00A066C6">
        <w:rPr>
          <w:rFonts w:cs="Arial"/>
          <w:szCs w:val="20"/>
        </w:rPr>
        <w:t xml:space="preserve">. </w:t>
      </w:r>
    </w:p>
    <w:p w14:paraId="7CE8D3C1" w14:textId="77777777" w:rsidR="00817BBE" w:rsidRPr="00817BBE" w:rsidRDefault="00817BBE" w:rsidP="00817BBE">
      <w:pPr>
        <w:rPr>
          <w:lang w:eastAsia="en-AU"/>
        </w:rPr>
      </w:pPr>
    </w:p>
    <w:p w14:paraId="44A2A276" w14:textId="70D4CFC4" w:rsidR="002543F1" w:rsidRPr="00FA7937" w:rsidRDefault="002543F1" w:rsidP="002543F1">
      <w:pPr>
        <w:pStyle w:val="Heading2"/>
        <w:spacing w:before="0"/>
        <w:ind w:left="578" w:hanging="578"/>
        <w:jc w:val="both"/>
        <w:rPr>
          <w:rFonts w:cs="Arial"/>
          <w:szCs w:val="20"/>
        </w:rPr>
      </w:pPr>
      <w:r w:rsidRPr="00FA7937">
        <w:rPr>
          <w:rFonts w:cs="Arial"/>
          <w:szCs w:val="20"/>
        </w:rPr>
        <w:t xml:space="preserve">The purpose of this Academic Quality Assurance Framework (AQAF) policy is to describe the University’s approach to quality assurance by embedding principles of good practice in quality </w:t>
      </w:r>
      <w:r w:rsidR="006804C8">
        <w:rPr>
          <w:rFonts w:cs="Arial"/>
          <w:szCs w:val="20"/>
        </w:rPr>
        <w:t xml:space="preserve">and compliance </w:t>
      </w:r>
      <w:r w:rsidRPr="00FA7937">
        <w:rPr>
          <w:rFonts w:cs="Arial"/>
          <w:szCs w:val="20"/>
        </w:rPr>
        <w:t xml:space="preserve">management in accordance with the quality standards of its regulatory bodies through a </w:t>
      </w:r>
      <w:bookmarkStart w:id="3" w:name="_GoBack"/>
      <w:r w:rsidRPr="00FA7937">
        <w:rPr>
          <w:rFonts w:cs="Arial"/>
          <w:szCs w:val="20"/>
        </w:rPr>
        <w:t xml:space="preserve">system of mature quality assurance processes, </w:t>
      </w:r>
      <w:r>
        <w:rPr>
          <w:rFonts w:cs="Arial"/>
          <w:szCs w:val="20"/>
        </w:rPr>
        <w:t xml:space="preserve">evidence-based decision-making, </w:t>
      </w:r>
      <w:r w:rsidRPr="00FA7937">
        <w:rPr>
          <w:rFonts w:cs="Arial"/>
          <w:szCs w:val="20"/>
        </w:rPr>
        <w:t xml:space="preserve">compliance auditing </w:t>
      </w:r>
      <w:bookmarkEnd w:id="3"/>
      <w:r w:rsidRPr="00FA7937">
        <w:rPr>
          <w:rFonts w:cs="Arial"/>
          <w:szCs w:val="20"/>
        </w:rPr>
        <w:t>and the capture and implementation of continuous improvement</w:t>
      </w:r>
      <w:r>
        <w:rPr>
          <w:rFonts w:cs="Arial"/>
          <w:szCs w:val="20"/>
        </w:rPr>
        <w:t>.</w:t>
      </w:r>
    </w:p>
    <w:p w14:paraId="0A785006" w14:textId="77777777" w:rsidR="002543F1" w:rsidRPr="002543F1" w:rsidRDefault="002543F1" w:rsidP="002543F1">
      <w:pPr>
        <w:rPr>
          <w:lang w:eastAsia="en-AU"/>
        </w:rPr>
      </w:pPr>
    </w:p>
    <w:p w14:paraId="304D5D89" w14:textId="09B36C66" w:rsidR="00DD383F" w:rsidRPr="0004789C" w:rsidRDefault="00DD383F" w:rsidP="00AB22B1">
      <w:pPr>
        <w:pStyle w:val="Heading1"/>
        <w:widowControl/>
        <w:rPr>
          <w:iCs/>
        </w:rPr>
      </w:pPr>
      <w:bookmarkStart w:id="4" w:name="_Toc9321277"/>
      <w:bookmarkStart w:id="5" w:name="_Toc47619463"/>
      <w:r w:rsidRPr="0004789C">
        <w:rPr>
          <w:iCs/>
        </w:rPr>
        <w:t>Scope</w:t>
      </w:r>
      <w:bookmarkEnd w:id="4"/>
      <w:bookmarkEnd w:id="5"/>
    </w:p>
    <w:p w14:paraId="57D5F8BD" w14:textId="77777777" w:rsidR="00817BBE" w:rsidRDefault="00817BBE" w:rsidP="00817BBE">
      <w:pPr>
        <w:pStyle w:val="Heading2"/>
        <w:widowControl/>
        <w:numPr>
          <w:ilvl w:val="0"/>
          <w:numId w:val="0"/>
        </w:numPr>
        <w:spacing w:before="0"/>
        <w:ind w:left="578"/>
        <w:jc w:val="both"/>
      </w:pPr>
    </w:p>
    <w:p w14:paraId="747DE2B6" w14:textId="1E2A4CEE" w:rsidR="00AD01F2" w:rsidRDefault="002543F1" w:rsidP="00F07D41">
      <w:pPr>
        <w:pStyle w:val="Heading2"/>
        <w:widowControl/>
        <w:spacing w:before="0"/>
        <w:ind w:left="578" w:hanging="578"/>
        <w:jc w:val="both"/>
      </w:pPr>
      <w:r w:rsidRPr="002543F1">
        <w:t>Th</w:t>
      </w:r>
      <w:r w:rsidR="00C615D7">
        <w:t>e AQAF policy</w:t>
      </w:r>
      <w:r w:rsidRPr="002543F1">
        <w:t xml:space="preserve"> applies to</w:t>
      </w:r>
      <w:r w:rsidR="00AD01F2">
        <w:t>:</w:t>
      </w:r>
    </w:p>
    <w:p w14:paraId="59343EB9" w14:textId="509F6C69" w:rsidR="00AD01F2" w:rsidRDefault="00AD01F2" w:rsidP="0063476B">
      <w:pPr>
        <w:pStyle w:val="Heading2"/>
        <w:numPr>
          <w:ilvl w:val="0"/>
          <w:numId w:val="11"/>
        </w:numPr>
        <w:spacing w:before="0"/>
        <w:jc w:val="both"/>
        <w:rPr>
          <w:rFonts w:cs="Arial"/>
          <w:szCs w:val="20"/>
        </w:rPr>
      </w:pPr>
      <w:r>
        <w:rPr>
          <w:rFonts w:cs="Arial"/>
          <w:szCs w:val="20"/>
        </w:rPr>
        <w:t>g</w:t>
      </w:r>
      <w:r w:rsidRPr="00AD01F2">
        <w:rPr>
          <w:rFonts w:cs="Arial"/>
          <w:szCs w:val="20"/>
        </w:rPr>
        <w:t xml:space="preserve">overnance bodies and </w:t>
      </w:r>
      <w:r w:rsidR="002543F1" w:rsidRPr="00AD01F2">
        <w:rPr>
          <w:rFonts w:cs="Arial"/>
          <w:szCs w:val="20"/>
        </w:rPr>
        <w:t xml:space="preserve"> </w:t>
      </w:r>
      <w:r>
        <w:rPr>
          <w:rFonts w:cs="Arial"/>
          <w:szCs w:val="20"/>
        </w:rPr>
        <w:t>committees of the University;</w:t>
      </w:r>
    </w:p>
    <w:p w14:paraId="55DBFDEB" w14:textId="5FDB70C3" w:rsidR="00AD01F2" w:rsidRDefault="00AD01F2" w:rsidP="0063476B">
      <w:pPr>
        <w:pStyle w:val="Heading2"/>
        <w:numPr>
          <w:ilvl w:val="0"/>
          <w:numId w:val="11"/>
        </w:numPr>
        <w:spacing w:before="0"/>
        <w:jc w:val="both"/>
        <w:rPr>
          <w:rFonts w:cs="Arial"/>
          <w:szCs w:val="20"/>
        </w:rPr>
      </w:pPr>
      <w:r>
        <w:rPr>
          <w:rFonts w:cs="Arial"/>
          <w:szCs w:val="20"/>
        </w:rPr>
        <w:t xml:space="preserve">staff of the University, particularly members of the University </w:t>
      </w:r>
      <w:r w:rsidR="008D5C16">
        <w:rPr>
          <w:rFonts w:cs="Arial"/>
          <w:szCs w:val="20"/>
        </w:rPr>
        <w:t>E</w:t>
      </w:r>
      <w:r>
        <w:rPr>
          <w:rFonts w:cs="Arial"/>
          <w:szCs w:val="20"/>
        </w:rPr>
        <w:t>xecutive in exercising designated responsibilities and leadership to embed a culture of Quality Assurance and Quality Improvement across the University</w:t>
      </w:r>
      <w:r w:rsidR="008D5C16">
        <w:rPr>
          <w:rFonts w:cs="Arial"/>
          <w:szCs w:val="20"/>
        </w:rPr>
        <w:t>;</w:t>
      </w:r>
    </w:p>
    <w:p w14:paraId="5FF41F26" w14:textId="69EDEDA8" w:rsidR="002543F1" w:rsidRDefault="002543F1" w:rsidP="0063476B">
      <w:pPr>
        <w:pStyle w:val="Heading2"/>
        <w:numPr>
          <w:ilvl w:val="0"/>
          <w:numId w:val="11"/>
        </w:numPr>
        <w:spacing w:before="0"/>
        <w:jc w:val="both"/>
        <w:rPr>
          <w:rFonts w:cs="Arial"/>
          <w:szCs w:val="20"/>
        </w:rPr>
      </w:pPr>
      <w:r w:rsidRPr="00AD01F2">
        <w:rPr>
          <w:rFonts w:cs="Arial"/>
          <w:szCs w:val="20"/>
        </w:rPr>
        <w:t xml:space="preserve">all organisational units, campuses, staff and functions of the University, inclusive of the entire University community including students and partners of the University located locally, interstate </w:t>
      </w:r>
      <w:r w:rsidR="00AD01F2">
        <w:rPr>
          <w:rFonts w:cs="Arial"/>
          <w:szCs w:val="20"/>
        </w:rPr>
        <w:t>and</w:t>
      </w:r>
      <w:r w:rsidRPr="00AD01F2">
        <w:rPr>
          <w:rFonts w:cs="Arial"/>
          <w:szCs w:val="20"/>
        </w:rPr>
        <w:t xml:space="preserve"> overseas.</w:t>
      </w:r>
    </w:p>
    <w:p w14:paraId="67C330E0" w14:textId="46370254" w:rsidR="00C615D7" w:rsidRDefault="00C615D7" w:rsidP="00C615D7">
      <w:pPr>
        <w:rPr>
          <w:lang w:eastAsia="en-AU"/>
        </w:rPr>
      </w:pPr>
    </w:p>
    <w:p w14:paraId="33A78E5E" w14:textId="3B5CC923" w:rsidR="00C615D7" w:rsidRPr="006E02CD" w:rsidRDefault="00C615D7" w:rsidP="00C615D7">
      <w:pPr>
        <w:pStyle w:val="Heading2"/>
        <w:widowControl/>
        <w:spacing w:before="120"/>
        <w:ind w:left="578" w:hanging="578"/>
        <w:jc w:val="both"/>
      </w:pPr>
      <w:r>
        <w:t>The A</w:t>
      </w:r>
      <w:r w:rsidR="009708A1">
        <w:t>QAF</w:t>
      </w:r>
      <w:r w:rsidRPr="006E02CD">
        <w:t xml:space="preserve"> encompasses all areas of University activity and enterprise, including:</w:t>
      </w:r>
    </w:p>
    <w:p w14:paraId="3E0D77D4" w14:textId="4BF7A0A2" w:rsidR="00C615D7" w:rsidRPr="006E02CD" w:rsidRDefault="00C615D7" w:rsidP="0063476B">
      <w:pPr>
        <w:pStyle w:val="Heading6"/>
        <w:keepNext w:val="0"/>
        <w:keepLines w:val="0"/>
        <w:numPr>
          <w:ilvl w:val="0"/>
          <w:numId w:val="12"/>
        </w:numPr>
        <w:jc w:val="both"/>
      </w:pPr>
      <w:r>
        <w:t xml:space="preserve">governance </w:t>
      </w:r>
      <w:proofErr w:type="gramStart"/>
      <w:r>
        <w:t>including,</w:t>
      </w:r>
      <w:proofErr w:type="gramEnd"/>
      <w:r>
        <w:t xml:space="preserve"> </w:t>
      </w:r>
      <w:r w:rsidRPr="006E02CD">
        <w:t xml:space="preserve">corporate </w:t>
      </w:r>
      <w:r>
        <w:t xml:space="preserve">and academic </w:t>
      </w:r>
      <w:r w:rsidRPr="006E02CD">
        <w:t>governance</w:t>
      </w:r>
      <w:r w:rsidR="007D7822">
        <w:t xml:space="preserve"> and accountability</w:t>
      </w:r>
      <w:r w:rsidRPr="006E02CD">
        <w:t>;</w:t>
      </w:r>
    </w:p>
    <w:p w14:paraId="794E4B37" w14:textId="6C48E32F" w:rsidR="00C615D7" w:rsidRPr="006E02CD" w:rsidRDefault="00C615D7" w:rsidP="0063476B">
      <w:pPr>
        <w:pStyle w:val="Heading6"/>
        <w:keepNext w:val="0"/>
        <w:keepLines w:val="0"/>
        <w:numPr>
          <w:ilvl w:val="0"/>
          <w:numId w:val="12"/>
        </w:numPr>
        <w:jc w:val="both"/>
      </w:pPr>
      <w:r w:rsidRPr="006E02CD">
        <w:t xml:space="preserve">student participation </w:t>
      </w:r>
      <w:r>
        <w:t xml:space="preserve">and attainment </w:t>
      </w:r>
      <w:r w:rsidRPr="006E02CD">
        <w:t xml:space="preserve">(including admission, </w:t>
      </w:r>
      <w:r w:rsidR="00CD690D">
        <w:t>granting</w:t>
      </w:r>
      <w:r w:rsidR="006804C8">
        <w:t xml:space="preserve"> of </w:t>
      </w:r>
      <w:r w:rsidRPr="006E02CD">
        <w:t>credit and recognition of prior learning, orientation and progression, learning outcomes and assessment, qualifications and certification</w:t>
      </w:r>
      <w:r>
        <w:t>, cohort monitoring, English Language Competence monitoring</w:t>
      </w:r>
      <w:r w:rsidRPr="006E02CD">
        <w:t>);</w:t>
      </w:r>
    </w:p>
    <w:p w14:paraId="0C73B177" w14:textId="38CB0C22" w:rsidR="00C615D7" w:rsidRDefault="00C615D7" w:rsidP="0063476B">
      <w:pPr>
        <w:pStyle w:val="Heading6"/>
        <w:keepNext w:val="0"/>
        <w:keepLines w:val="0"/>
        <w:numPr>
          <w:ilvl w:val="0"/>
          <w:numId w:val="12"/>
        </w:numPr>
        <w:jc w:val="both"/>
      </w:pPr>
      <w:r>
        <w:t>integrity (academic and research integrity)</w:t>
      </w:r>
    </w:p>
    <w:p w14:paraId="4BA87C82" w14:textId="0050124B" w:rsidR="00C615D7" w:rsidRPr="006E02CD" w:rsidRDefault="00C615D7" w:rsidP="0063476B">
      <w:pPr>
        <w:pStyle w:val="Heading6"/>
        <w:keepNext w:val="0"/>
        <w:keepLines w:val="0"/>
        <w:numPr>
          <w:ilvl w:val="0"/>
          <w:numId w:val="12"/>
        </w:numPr>
        <w:jc w:val="both"/>
      </w:pPr>
      <w:r w:rsidRPr="006E02CD">
        <w:t>learning environment (including facilities and infrastructure, library services, accessibility support, diversity and equity, wellbeing and safety, student grievances</w:t>
      </w:r>
      <w:r w:rsidR="006804C8">
        <w:t xml:space="preserve"> (appeals)</w:t>
      </w:r>
      <w:r w:rsidRPr="006E02CD">
        <w:t xml:space="preserve"> and complaints);</w:t>
      </w:r>
    </w:p>
    <w:p w14:paraId="19BD6710" w14:textId="77777777" w:rsidR="00C615D7" w:rsidRPr="006E02CD" w:rsidRDefault="00C615D7" w:rsidP="0063476B">
      <w:pPr>
        <w:pStyle w:val="Heading6"/>
        <w:keepNext w:val="0"/>
        <w:keepLines w:val="0"/>
        <w:numPr>
          <w:ilvl w:val="0"/>
          <w:numId w:val="12"/>
        </w:numPr>
        <w:jc w:val="both"/>
      </w:pPr>
      <w:r w:rsidRPr="006E02CD">
        <w:t>teaching (including course design, staffing, learning resources and educational support);</w:t>
      </w:r>
    </w:p>
    <w:p w14:paraId="12279081" w14:textId="4158E4B3" w:rsidR="00C615D7" w:rsidRDefault="00C615D7" w:rsidP="0063476B">
      <w:pPr>
        <w:pStyle w:val="Heading6"/>
        <w:keepNext w:val="0"/>
        <w:keepLines w:val="0"/>
        <w:numPr>
          <w:ilvl w:val="0"/>
          <w:numId w:val="12"/>
        </w:numPr>
        <w:jc w:val="both"/>
      </w:pPr>
      <w:r w:rsidRPr="006E02CD">
        <w:t>research and research training;</w:t>
      </w:r>
    </w:p>
    <w:p w14:paraId="12DF677A" w14:textId="77777777" w:rsidR="00C615D7" w:rsidRPr="006E02CD" w:rsidRDefault="00C615D7" w:rsidP="0063476B">
      <w:pPr>
        <w:pStyle w:val="Heading6"/>
        <w:keepNext w:val="0"/>
        <w:keepLines w:val="0"/>
        <w:numPr>
          <w:ilvl w:val="0"/>
          <w:numId w:val="12"/>
        </w:numPr>
        <w:jc w:val="both"/>
      </w:pPr>
      <w:r w:rsidRPr="006E02CD">
        <w:lastRenderedPageBreak/>
        <w:t>institutional quality assurance (including course approval, monitoring, review, improvement and accreditation, academic and research integrity, delivery with other parties);</w:t>
      </w:r>
    </w:p>
    <w:p w14:paraId="1F917928" w14:textId="79A9C318" w:rsidR="00C615D7" w:rsidRPr="006E02CD" w:rsidRDefault="00C615D7" w:rsidP="0063476B">
      <w:pPr>
        <w:pStyle w:val="Heading6"/>
        <w:keepNext w:val="0"/>
        <w:keepLines w:val="0"/>
        <w:numPr>
          <w:ilvl w:val="0"/>
          <w:numId w:val="12"/>
        </w:numPr>
        <w:jc w:val="both"/>
      </w:pPr>
      <w:r w:rsidRPr="006E02CD">
        <w:t xml:space="preserve">representation, information, and information management (including communications, marketing, and promotion); </w:t>
      </w:r>
    </w:p>
    <w:p w14:paraId="0E836E76" w14:textId="6B2B9D67" w:rsidR="008D5C16" w:rsidRDefault="00C615D7" w:rsidP="008D5C16">
      <w:pPr>
        <w:pStyle w:val="Heading6"/>
        <w:keepNext w:val="0"/>
        <w:keepLines w:val="0"/>
        <w:numPr>
          <w:ilvl w:val="0"/>
          <w:numId w:val="12"/>
        </w:numPr>
        <w:jc w:val="both"/>
      </w:pPr>
      <w:r w:rsidRPr="006E02CD">
        <w:t>external engagement and environment</w:t>
      </w:r>
      <w:r w:rsidR="006804C8">
        <w:t>; and</w:t>
      </w:r>
    </w:p>
    <w:p w14:paraId="03425A5A" w14:textId="4C6A0605" w:rsidR="006804C8" w:rsidRPr="006804C8" w:rsidRDefault="006804C8" w:rsidP="006804C8">
      <w:pPr>
        <w:pStyle w:val="Heading6"/>
        <w:keepNext w:val="0"/>
        <w:keepLines w:val="0"/>
        <w:numPr>
          <w:ilvl w:val="0"/>
          <w:numId w:val="12"/>
        </w:numPr>
        <w:jc w:val="both"/>
      </w:pPr>
      <w:r>
        <w:t>international operations</w:t>
      </w:r>
    </w:p>
    <w:p w14:paraId="5F7F0BDC" w14:textId="39CDE1E6" w:rsidR="008D5C16" w:rsidRDefault="008D5C16" w:rsidP="008D5C16">
      <w:pPr>
        <w:rPr>
          <w:lang w:eastAsia="en-AU"/>
        </w:rPr>
      </w:pPr>
    </w:p>
    <w:p w14:paraId="2A60106B" w14:textId="77777777" w:rsidR="007E5BFF" w:rsidRPr="008D5C16" w:rsidRDefault="007E5BFF" w:rsidP="008D5C16">
      <w:pPr>
        <w:rPr>
          <w:lang w:eastAsia="en-AU"/>
        </w:rPr>
      </w:pPr>
    </w:p>
    <w:p w14:paraId="6E02C416" w14:textId="6BF93392" w:rsidR="00DB15B7" w:rsidRPr="004E6782" w:rsidRDefault="00344834" w:rsidP="00AB22B1">
      <w:pPr>
        <w:pStyle w:val="Heading1"/>
        <w:widowControl/>
        <w:rPr>
          <w:sz w:val="22"/>
          <w:szCs w:val="22"/>
        </w:rPr>
      </w:pPr>
      <w:bookmarkStart w:id="6" w:name="_Toc47619468"/>
      <w:r>
        <w:rPr>
          <w:sz w:val="22"/>
          <w:szCs w:val="22"/>
        </w:rPr>
        <w:t xml:space="preserve">Principles </w:t>
      </w:r>
      <w:r w:rsidR="007D7822">
        <w:rPr>
          <w:sz w:val="22"/>
          <w:szCs w:val="22"/>
        </w:rPr>
        <w:t>of the A</w:t>
      </w:r>
      <w:r w:rsidR="007E5BFF">
        <w:rPr>
          <w:sz w:val="22"/>
          <w:szCs w:val="22"/>
        </w:rPr>
        <w:t>cademic Quality Assurance Framework</w:t>
      </w:r>
    </w:p>
    <w:p w14:paraId="64D22B26" w14:textId="23D7A112" w:rsidR="00F74962" w:rsidRPr="00F74962" w:rsidRDefault="00F74962" w:rsidP="00F74962">
      <w:pPr>
        <w:pStyle w:val="Heading2"/>
        <w:widowControl/>
        <w:spacing w:before="120"/>
        <w:ind w:left="578" w:hanging="578"/>
        <w:jc w:val="both"/>
      </w:pPr>
      <w:r w:rsidRPr="00F74962">
        <w:t xml:space="preserve">The University's </w:t>
      </w:r>
      <w:r>
        <w:t>AQAF</w:t>
      </w:r>
      <w:r w:rsidRPr="00F74962">
        <w:t xml:space="preserve"> is whole-of-institution</w:t>
      </w:r>
      <w:r>
        <w:t xml:space="preserve"> mechanism that links </w:t>
      </w:r>
      <w:r w:rsidRPr="00F74962">
        <w:t>strategic principles and strategic directions with</w:t>
      </w:r>
      <w:r>
        <w:t xml:space="preserve"> </w:t>
      </w:r>
      <w:r w:rsidRPr="00F74962">
        <w:t xml:space="preserve">planning and best practice in quality </w:t>
      </w:r>
      <w:r w:rsidR="006804C8">
        <w:t xml:space="preserve">and compliance </w:t>
      </w:r>
      <w:r w:rsidRPr="00F74962">
        <w:t>management.</w:t>
      </w:r>
    </w:p>
    <w:p w14:paraId="2075CA49" w14:textId="6DA2FA9A" w:rsidR="00AB6029" w:rsidRPr="00AB6029" w:rsidRDefault="00AB6029" w:rsidP="00F74962">
      <w:pPr>
        <w:pStyle w:val="Heading2"/>
        <w:widowControl/>
        <w:spacing w:before="120"/>
        <w:ind w:left="578" w:hanging="578"/>
        <w:jc w:val="both"/>
      </w:pPr>
      <w:r>
        <w:t xml:space="preserve">The </w:t>
      </w:r>
      <w:r w:rsidR="00376908">
        <w:t>University’s AQA</w:t>
      </w:r>
      <w:r w:rsidR="00DD63AB">
        <w:t>F</w:t>
      </w:r>
      <w:r w:rsidR="00376908">
        <w:t xml:space="preserve"> </w:t>
      </w:r>
      <w:r w:rsidR="00F74962">
        <w:t>strives towards</w:t>
      </w:r>
      <w:r w:rsidR="00376908">
        <w:t>:</w:t>
      </w:r>
    </w:p>
    <w:bookmarkEnd w:id="6"/>
    <w:p w14:paraId="7E92BFBA" w14:textId="6EEA7D3F" w:rsidR="009F4107" w:rsidRDefault="00FF5B56" w:rsidP="006F34C1">
      <w:pPr>
        <w:pStyle w:val="Heading6"/>
        <w:keepNext w:val="0"/>
        <w:keepLines w:val="0"/>
        <w:numPr>
          <w:ilvl w:val="0"/>
          <w:numId w:val="10"/>
        </w:numPr>
        <w:jc w:val="both"/>
      </w:pPr>
      <w:r w:rsidRPr="00376908">
        <w:t xml:space="preserve">consistency rather than standardisation. There are agreed quality assurance processes but with some flexibility for </w:t>
      </w:r>
      <w:r>
        <w:t>schools</w:t>
      </w:r>
      <w:r w:rsidRPr="00376908">
        <w:t xml:space="preserve"> </w:t>
      </w:r>
      <w:r>
        <w:t xml:space="preserve">and other organisational units </w:t>
      </w:r>
      <w:r w:rsidRPr="00376908">
        <w:t xml:space="preserve">to determine how they meet the intended outcomes of the process. The </w:t>
      </w:r>
      <w:r w:rsidR="006804C8">
        <w:t xml:space="preserve">Academic </w:t>
      </w:r>
      <w:r w:rsidRPr="00376908">
        <w:t xml:space="preserve">Quality </w:t>
      </w:r>
      <w:r w:rsidR="006804C8">
        <w:t xml:space="preserve">Assurance </w:t>
      </w:r>
      <w:r w:rsidRPr="00376908">
        <w:t xml:space="preserve">and Standards </w:t>
      </w:r>
      <w:r w:rsidR="006804C8">
        <w:t xml:space="preserve">Unit (AQASU) </w:t>
      </w:r>
      <w:r>
        <w:t>within the Office of the Pro Vice-Chancellor (Academic)</w:t>
      </w:r>
      <w:r w:rsidRPr="00376908">
        <w:t xml:space="preserve"> provides a co-ordinated approach to quality assurance across </w:t>
      </w:r>
      <w:r>
        <w:t xml:space="preserve">Schools and organisational units across the campus </w:t>
      </w:r>
      <w:r w:rsidRPr="00376908">
        <w:t xml:space="preserve">to promote consistency. </w:t>
      </w:r>
      <w:r>
        <w:t xml:space="preserve">Consistency is achieved by: </w:t>
      </w:r>
    </w:p>
    <w:p w14:paraId="266E0FD9" w14:textId="77777777" w:rsidR="009F4107" w:rsidRDefault="009F4107" w:rsidP="00724D00">
      <w:pPr>
        <w:pStyle w:val="ListParagraph"/>
        <w:numPr>
          <w:ilvl w:val="0"/>
          <w:numId w:val="14"/>
        </w:numPr>
        <w:jc w:val="both"/>
        <w:rPr>
          <w:lang w:eastAsia="en-AU"/>
        </w:rPr>
      </w:pPr>
      <w:r>
        <w:rPr>
          <w:lang w:eastAsia="en-AU"/>
        </w:rPr>
        <w:t>i</w:t>
      </w:r>
      <w:r w:rsidRPr="009F4107">
        <w:rPr>
          <w:lang w:eastAsia="en-AU"/>
        </w:rPr>
        <w:t>mplementing quality control processes to ensure the minimum standards</w:t>
      </w:r>
      <w:r>
        <w:rPr>
          <w:lang w:eastAsia="en-AU"/>
        </w:rPr>
        <w:t xml:space="preserve"> </w:t>
      </w:r>
      <w:r w:rsidRPr="009F4107">
        <w:rPr>
          <w:lang w:eastAsia="en-AU"/>
        </w:rPr>
        <w:t>required by the Regulators are achieved.</w:t>
      </w:r>
    </w:p>
    <w:p w14:paraId="4ABB7B03" w14:textId="674848E1" w:rsidR="009F4107" w:rsidRPr="009F4107" w:rsidRDefault="008D5C16" w:rsidP="00724D00">
      <w:pPr>
        <w:pStyle w:val="ListParagraph"/>
        <w:numPr>
          <w:ilvl w:val="0"/>
          <w:numId w:val="14"/>
        </w:numPr>
        <w:jc w:val="both"/>
        <w:rPr>
          <w:lang w:eastAsia="en-AU"/>
        </w:rPr>
      </w:pPr>
      <w:r>
        <w:rPr>
          <w:lang w:eastAsia="en-AU"/>
        </w:rPr>
        <w:t>a</w:t>
      </w:r>
      <w:r w:rsidR="009F4107" w:rsidRPr="009F4107">
        <w:rPr>
          <w:lang w:eastAsia="en-AU"/>
        </w:rPr>
        <w:t>dopting agreed methodologies to capture, record and evaluate key</w:t>
      </w:r>
      <w:r w:rsidR="009F4107">
        <w:rPr>
          <w:lang w:eastAsia="en-AU"/>
        </w:rPr>
        <w:t xml:space="preserve"> </w:t>
      </w:r>
      <w:r w:rsidR="009F4107" w:rsidRPr="009F4107">
        <w:rPr>
          <w:lang w:eastAsia="en-AU"/>
        </w:rPr>
        <w:t>outcomes to enable appropriate management responses.</w:t>
      </w:r>
    </w:p>
    <w:p w14:paraId="459D1C22" w14:textId="1253CABE" w:rsidR="009F4107" w:rsidRPr="009F4107" w:rsidRDefault="008D5C16" w:rsidP="00724D00">
      <w:pPr>
        <w:pStyle w:val="ListParagraph"/>
        <w:numPr>
          <w:ilvl w:val="0"/>
          <w:numId w:val="14"/>
        </w:numPr>
        <w:jc w:val="both"/>
        <w:rPr>
          <w:lang w:eastAsia="en-AU"/>
        </w:rPr>
      </w:pPr>
      <w:r>
        <w:rPr>
          <w:lang w:eastAsia="en-AU"/>
        </w:rPr>
        <w:t>p</w:t>
      </w:r>
      <w:r w:rsidR="009F4107" w:rsidRPr="009F4107">
        <w:rPr>
          <w:lang w:eastAsia="en-AU"/>
        </w:rPr>
        <w:t>roviding clear and consistent leadership in the implementation and</w:t>
      </w:r>
      <w:r w:rsidR="009F4107">
        <w:rPr>
          <w:lang w:eastAsia="en-AU"/>
        </w:rPr>
        <w:t xml:space="preserve"> </w:t>
      </w:r>
      <w:r w:rsidR="009F4107" w:rsidRPr="009F4107">
        <w:rPr>
          <w:lang w:eastAsia="en-AU"/>
        </w:rPr>
        <w:t>maintenance of quality systems.</w:t>
      </w:r>
    </w:p>
    <w:p w14:paraId="651D9DA8" w14:textId="49E5D764" w:rsidR="009F4107" w:rsidRDefault="008D5C16" w:rsidP="00724D00">
      <w:pPr>
        <w:pStyle w:val="ListParagraph"/>
        <w:numPr>
          <w:ilvl w:val="0"/>
          <w:numId w:val="14"/>
        </w:numPr>
        <w:jc w:val="both"/>
        <w:rPr>
          <w:lang w:eastAsia="en-AU"/>
        </w:rPr>
      </w:pPr>
      <w:r>
        <w:rPr>
          <w:lang w:eastAsia="en-AU"/>
        </w:rPr>
        <w:t>e</w:t>
      </w:r>
      <w:r w:rsidR="009F4107" w:rsidRPr="009F4107">
        <w:rPr>
          <w:lang w:eastAsia="en-AU"/>
        </w:rPr>
        <w:t xml:space="preserve">stablishing quality assurance processes to ensure that </w:t>
      </w:r>
      <w:r>
        <w:rPr>
          <w:lang w:eastAsia="en-AU"/>
        </w:rPr>
        <w:t>the U</w:t>
      </w:r>
      <w:r w:rsidR="009F4107" w:rsidRPr="009F4107">
        <w:rPr>
          <w:lang w:eastAsia="en-AU"/>
        </w:rPr>
        <w:t>niversity</w:t>
      </w:r>
      <w:r w:rsidR="009F4107">
        <w:rPr>
          <w:lang w:eastAsia="en-AU"/>
        </w:rPr>
        <w:t xml:space="preserve"> </w:t>
      </w:r>
      <w:r w:rsidR="009F4107" w:rsidRPr="009F4107">
        <w:rPr>
          <w:lang w:eastAsia="en-AU"/>
        </w:rPr>
        <w:t>activities are being completed or delivered in a consistent and timely</w:t>
      </w:r>
      <w:r w:rsidR="009F4107">
        <w:rPr>
          <w:lang w:eastAsia="en-AU"/>
        </w:rPr>
        <w:t xml:space="preserve"> </w:t>
      </w:r>
      <w:r w:rsidR="009F4107" w:rsidRPr="009F4107">
        <w:rPr>
          <w:lang w:eastAsia="en-AU"/>
        </w:rPr>
        <w:t>manner. This includes the reporting of the results of all reviews, audits</w:t>
      </w:r>
      <w:r w:rsidR="009F4107">
        <w:rPr>
          <w:lang w:eastAsia="en-AU"/>
        </w:rPr>
        <w:t xml:space="preserve">, </w:t>
      </w:r>
      <w:r w:rsidR="009F4107" w:rsidRPr="009F4107">
        <w:rPr>
          <w:lang w:eastAsia="en-AU"/>
        </w:rPr>
        <w:t>feedback, and complaints to the relevant standing committee.</w:t>
      </w:r>
    </w:p>
    <w:p w14:paraId="1184ED33" w14:textId="77777777" w:rsidR="00EE41A4" w:rsidRPr="009F4107" w:rsidRDefault="00EE41A4" w:rsidP="00EE41A4">
      <w:pPr>
        <w:pStyle w:val="ListParagraph"/>
        <w:numPr>
          <w:ilvl w:val="0"/>
          <w:numId w:val="0"/>
        </w:numPr>
        <w:ind w:left="1296"/>
        <w:jc w:val="both"/>
        <w:rPr>
          <w:lang w:eastAsia="en-AU"/>
        </w:rPr>
      </w:pPr>
    </w:p>
    <w:p w14:paraId="4E7A8EB5" w14:textId="31FE20AC" w:rsidR="009F4107" w:rsidRDefault="00F74962" w:rsidP="0063476B">
      <w:pPr>
        <w:pStyle w:val="Heading6"/>
        <w:keepNext w:val="0"/>
        <w:keepLines w:val="0"/>
        <w:numPr>
          <w:ilvl w:val="0"/>
          <w:numId w:val="10"/>
        </w:numPr>
        <w:jc w:val="both"/>
      </w:pPr>
      <w:r>
        <w:t>accountability</w:t>
      </w:r>
      <w:r w:rsidR="009F4107">
        <w:t xml:space="preserve"> by</w:t>
      </w:r>
      <w:r w:rsidR="008D5C16">
        <w:t xml:space="preserve"> way of</w:t>
      </w:r>
      <w:r w:rsidR="009F4107">
        <w:t>:</w:t>
      </w:r>
    </w:p>
    <w:p w14:paraId="45BF6612" w14:textId="2555B677" w:rsidR="00A93987" w:rsidRDefault="00A93987" w:rsidP="00724D00">
      <w:pPr>
        <w:pStyle w:val="ListParagraph"/>
        <w:numPr>
          <w:ilvl w:val="0"/>
          <w:numId w:val="13"/>
        </w:numPr>
        <w:jc w:val="both"/>
        <w:rPr>
          <w:lang w:eastAsia="en-AU"/>
        </w:rPr>
      </w:pPr>
      <w:r>
        <w:rPr>
          <w:lang w:eastAsia="en-AU"/>
        </w:rPr>
        <w:t xml:space="preserve">ensuring that the University’s academic activities are well measured and informed, with transparent decision-making in line with the University’s </w:t>
      </w:r>
      <w:r w:rsidR="006804C8">
        <w:rPr>
          <w:lang w:eastAsia="en-AU"/>
        </w:rPr>
        <w:t>governance</w:t>
      </w:r>
      <w:r>
        <w:rPr>
          <w:lang w:eastAsia="en-AU"/>
        </w:rPr>
        <w:t xml:space="preserve"> systems. </w:t>
      </w:r>
    </w:p>
    <w:p w14:paraId="2E408B3F" w14:textId="6A75D6D4" w:rsidR="00F74962" w:rsidRDefault="00553218" w:rsidP="00724D00">
      <w:pPr>
        <w:pStyle w:val="ListParagraph"/>
        <w:numPr>
          <w:ilvl w:val="0"/>
          <w:numId w:val="13"/>
        </w:numPr>
        <w:jc w:val="both"/>
        <w:rPr>
          <w:lang w:eastAsia="en-AU"/>
        </w:rPr>
      </w:pPr>
      <w:r>
        <w:rPr>
          <w:lang w:eastAsia="en-AU"/>
        </w:rPr>
        <w:t>implementing</w:t>
      </w:r>
      <w:r w:rsidR="00F74962">
        <w:rPr>
          <w:lang w:eastAsia="en-AU"/>
        </w:rPr>
        <w:t xml:space="preserve"> a consistent institutional approach across all operational areas in measured areas of quality control</w:t>
      </w:r>
      <w:r>
        <w:t>.</w:t>
      </w:r>
    </w:p>
    <w:p w14:paraId="37E9DA58" w14:textId="771E68A8" w:rsidR="009F4107" w:rsidRDefault="009F4107" w:rsidP="00724D00">
      <w:pPr>
        <w:pStyle w:val="ListParagraph"/>
        <w:numPr>
          <w:ilvl w:val="0"/>
          <w:numId w:val="13"/>
        </w:numPr>
        <w:jc w:val="both"/>
        <w:rPr>
          <w:lang w:eastAsia="en-AU"/>
        </w:rPr>
      </w:pPr>
      <w:r>
        <w:rPr>
          <w:lang w:eastAsia="en-AU"/>
        </w:rPr>
        <w:t>ensuring that</w:t>
      </w:r>
      <w:r w:rsidR="0063476B">
        <w:rPr>
          <w:lang w:eastAsia="en-AU"/>
        </w:rPr>
        <w:t xml:space="preserve"> </w:t>
      </w:r>
      <w:r w:rsidR="0063476B">
        <w:t>strategic oversight and compliance with External and Internal standards and requirements resides at the highest levels of University governance</w:t>
      </w:r>
      <w:r w:rsidR="0063476B">
        <w:rPr>
          <w:lang w:eastAsia="en-AU"/>
        </w:rPr>
        <w:t>.</w:t>
      </w:r>
    </w:p>
    <w:p w14:paraId="58F73B6E" w14:textId="29FBA72F" w:rsidR="00376908" w:rsidRDefault="00376908" w:rsidP="00724D00">
      <w:pPr>
        <w:pStyle w:val="ListParagraph"/>
        <w:numPr>
          <w:ilvl w:val="0"/>
          <w:numId w:val="13"/>
        </w:numPr>
        <w:jc w:val="both"/>
        <w:rPr>
          <w:lang w:eastAsia="en-AU"/>
        </w:rPr>
      </w:pPr>
      <w:r w:rsidRPr="00376908">
        <w:rPr>
          <w:lang w:eastAsia="en-AU"/>
        </w:rPr>
        <w:t>recognis</w:t>
      </w:r>
      <w:r w:rsidR="009F4107">
        <w:rPr>
          <w:lang w:eastAsia="en-AU"/>
        </w:rPr>
        <w:t xml:space="preserve">ing </w:t>
      </w:r>
      <w:r w:rsidRPr="00376908">
        <w:rPr>
          <w:lang w:eastAsia="en-AU"/>
        </w:rPr>
        <w:t>shared responsibility for the setting and maintenance of the academic standards of the University’s academic provision</w:t>
      </w:r>
      <w:r w:rsidR="004745D9">
        <w:rPr>
          <w:lang w:eastAsia="en-AU"/>
        </w:rPr>
        <w:t>. Th</w:t>
      </w:r>
      <w:r w:rsidRPr="00376908">
        <w:rPr>
          <w:lang w:eastAsia="en-AU"/>
        </w:rPr>
        <w:t xml:space="preserve">ey recognise the broad involvement of academic staff, students and other stakeholders, working in partnership through membership of </w:t>
      </w:r>
      <w:r>
        <w:rPr>
          <w:lang w:eastAsia="en-AU"/>
        </w:rPr>
        <w:t>School</w:t>
      </w:r>
      <w:r w:rsidR="004745D9">
        <w:rPr>
          <w:lang w:eastAsia="en-AU"/>
        </w:rPr>
        <w:t>,</w:t>
      </w:r>
      <w:r w:rsidR="006804C8">
        <w:rPr>
          <w:lang w:eastAsia="en-AU"/>
        </w:rPr>
        <w:t xml:space="preserve"> and</w:t>
      </w:r>
      <w:r w:rsidRPr="00376908">
        <w:rPr>
          <w:lang w:eastAsia="en-AU"/>
        </w:rPr>
        <w:t xml:space="preserve"> University committees</w:t>
      </w:r>
      <w:r w:rsidR="004745D9">
        <w:rPr>
          <w:lang w:eastAsia="en-AU"/>
        </w:rPr>
        <w:t xml:space="preserve"> a</w:t>
      </w:r>
      <w:r w:rsidR="006804C8">
        <w:rPr>
          <w:lang w:eastAsia="en-AU"/>
        </w:rPr>
        <w:t>s well as</w:t>
      </w:r>
      <w:r w:rsidR="004745D9">
        <w:rPr>
          <w:lang w:eastAsia="en-AU"/>
        </w:rPr>
        <w:t xml:space="preserve"> other organisational entities</w:t>
      </w:r>
      <w:r w:rsidR="0063476B">
        <w:rPr>
          <w:lang w:eastAsia="en-AU"/>
        </w:rPr>
        <w:t>.</w:t>
      </w:r>
      <w:r w:rsidRPr="00376908">
        <w:rPr>
          <w:lang w:eastAsia="en-AU"/>
        </w:rPr>
        <w:t xml:space="preserve"> </w:t>
      </w:r>
    </w:p>
    <w:p w14:paraId="46434291" w14:textId="52AE7097" w:rsidR="00EE41A4" w:rsidRDefault="0063476B" w:rsidP="00724D00">
      <w:pPr>
        <w:pStyle w:val="ListParagraph"/>
        <w:numPr>
          <w:ilvl w:val="0"/>
          <w:numId w:val="13"/>
        </w:numPr>
        <w:jc w:val="both"/>
        <w:rPr>
          <w:lang w:eastAsia="en-AU"/>
        </w:rPr>
      </w:pPr>
      <w:r>
        <w:rPr>
          <w:lang w:eastAsia="en-AU"/>
        </w:rPr>
        <w:t>delegating authority through the Delegations of Academic Authority</w:t>
      </w:r>
      <w:r w:rsidR="00EE41A4">
        <w:rPr>
          <w:lang w:eastAsia="en-AU"/>
        </w:rPr>
        <w:t>.</w:t>
      </w:r>
    </w:p>
    <w:p w14:paraId="09224021" w14:textId="77777777" w:rsidR="00EE41A4" w:rsidRDefault="00EE41A4" w:rsidP="00EE41A4">
      <w:pPr>
        <w:pStyle w:val="ListParagraph"/>
        <w:numPr>
          <w:ilvl w:val="0"/>
          <w:numId w:val="0"/>
        </w:numPr>
        <w:ind w:left="1296"/>
        <w:jc w:val="both"/>
        <w:rPr>
          <w:lang w:eastAsia="en-AU"/>
        </w:rPr>
      </w:pPr>
    </w:p>
    <w:p w14:paraId="42A5C95D" w14:textId="5AEAB5ED" w:rsidR="00EE41A4" w:rsidRDefault="007D70EE" w:rsidP="00EE41A4">
      <w:pPr>
        <w:pStyle w:val="Heading6"/>
        <w:keepNext w:val="0"/>
        <w:keepLines w:val="0"/>
        <w:numPr>
          <w:ilvl w:val="0"/>
          <w:numId w:val="10"/>
        </w:numPr>
        <w:jc w:val="both"/>
      </w:pPr>
      <w:r>
        <w:t>c</w:t>
      </w:r>
      <w:r w:rsidR="00EE41A4">
        <w:t>ontinuous improvement through the adoption of a quality</w:t>
      </w:r>
      <w:r w:rsidR="006804C8">
        <w:t xml:space="preserve"> compliance management system and associated assurance program (cycle of Plan, Do, Review and Improve) </w:t>
      </w:r>
      <w:r w:rsidR="00EE41A4">
        <w:t>to drive the process of self-review</w:t>
      </w:r>
      <w:r w:rsidR="00A93987">
        <w:t xml:space="preserve"> underpinned by external benchmarking for </w:t>
      </w:r>
      <w:r w:rsidR="00AD6A30">
        <w:t xml:space="preserve">professional accreditation, </w:t>
      </w:r>
      <w:r w:rsidR="00A93987">
        <w:t>academic quality and outcomes</w:t>
      </w:r>
      <w:r w:rsidR="00EE41A4">
        <w:t xml:space="preserve">, reflection, continuous improvement and accountability to assure internal and external accreditation, registration and relevant audits. The </w:t>
      </w:r>
      <w:r w:rsidR="006804C8">
        <w:t>AQASU</w:t>
      </w:r>
      <w:r w:rsidR="00537EE1">
        <w:t xml:space="preserve"> within the </w:t>
      </w:r>
      <w:r w:rsidR="00EE41A4">
        <w:t xml:space="preserve">Office of the Pro Vice-Chancellor (Academic) </w:t>
      </w:r>
      <w:r w:rsidR="00537EE1">
        <w:t xml:space="preserve">in </w:t>
      </w:r>
      <w:r w:rsidR="00EE41A4">
        <w:t xml:space="preserve">the Deputy Vice-Chancellor Portfolio </w:t>
      </w:r>
      <w:r w:rsidR="00EE41A4" w:rsidRPr="00EE41A4">
        <w:t>actively plans for</w:t>
      </w:r>
      <w:r w:rsidR="00EE41A4">
        <w:t xml:space="preserve"> </w:t>
      </w:r>
      <w:r w:rsidR="00EE41A4" w:rsidRPr="00EE41A4">
        <w:t xml:space="preserve">quality </w:t>
      </w:r>
      <w:r>
        <w:t>cycle</w:t>
      </w:r>
      <w:r w:rsidR="00EE41A4" w:rsidRPr="00EE41A4">
        <w:t xml:space="preserve"> of the University as well as seeking opportunities to enhance best practice through continuous</w:t>
      </w:r>
      <w:r w:rsidR="00EE41A4">
        <w:t xml:space="preserve"> </w:t>
      </w:r>
      <w:r w:rsidR="00EE41A4" w:rsidRPr="00EE41A4">
        <w:t>improvement.</w:t>
      </w:r>
    </w:p>
    <w:p w14:paraId="071DA306" w14:textId="77777777" w:rsidR="00EE41A4" w:rsidRPr="00EE41A4" w:rsidRDefault="00EE41A4" w:rsidP="00EE41A4">
      <w:pPr>
        <w:rPr>
          <w:lang w:eastAsia="en-AU"/>
        </w:rPr>
      </w:pPr>
    </w:p>
    <w:p w14:paraId="343208C0" w14:textId="4E0886A5" w:rsidR="00376908" w:rsidRDefault="00A93987" w:rsidP="00EE41A4">
      <w:pPr>
        <w:pStyle w:val="Heading6"/>
        <w:keepNext w:val="0"/>
        <w:keepLines w:val="0"/>
        <w:numPr>
          <w:ilvl w:val="0"/>
          <w:numId w:val="10"/>
        </w:numPr>
        <w:jc w:val="both"/>
      </w:pPr>
      <w:r>
        <w:t>alignment with the University’s risk management principles</w:t>
      </w:r>
      <w:r w:rsidR="00FF5B56">
        <w:t xml:space="preserve">. The </w:t>
      </w:r>
      <w:r w:rsidR="008D5C16">
        <w:t xml:space="preserve">University’s </w:t>
      </w:r>
      <w:r w:rsidR="00376908" w:rsidRPr="00376908">
        <w:t xml:space="preserve">quality assurance processes are designed to be proportionate to the risk attached to the activity they are assuring, especially in relation to collaborative provision. Documentation requirements seek to ensure that students and other stakeholders are able to get clear and accurate information about </w:t>
      </w:r>
      <w:r w:rsidR="00EE41A4">
        <w:t>courses</w:t>
      </w:r>
      <w:r w:rsidR="00376908" w:rsidRPr="00376908">
        <w:t xml:space="preserve"> of study which lead to a</w:t>
      </w:r>
      <w:r w:rsidR="00B95B32">
        <w:t xml:space="preserve"> UWA </w:t>
      </w:r>
      <w:r w:rsidR="00376908" w:rsidRPr="00376908">
        <w:t>award, and clarity to the University’s partners with respect to the maintenance of the academic standards of the University’s awards</w:t>
      </w:r>
      <w:r w:rsidR="00EE41A4">
        <w:t>.</w:t>
      </w:r>
    </w:p>
    <w:p w14:paraId="07E454A8" w14:textId="77777777" w:rsidR="00EE41A4" w:rsidRPr="00EE41A4" w:rsidRDefault="00EE41A4" w:rsidP="00EE41A4">
      <w:pPr>
        <w:rPr>
          <w:lang w:eastAsia="en-AU"/>
        </w:rPr>
      </w:pPr>
    </w:p>
    <w:p w14:paraId="4B61782A" w14:textId="719D2665" w:rsidR="00376908" w:rsidRDefault="006165C6" w:rsidP="0063476B">
      <w:pPr>
        <w:pStyle w:val="Heading6"/>
        <w:keepNext w:val="0"/>
        <w:keepLines w:val="0"/>
        <w:numPr>
          <w:ilvl w:val="0"/>
          <w:numId w:val="10"/>
        </w:numPr>
        <w:jc w:val="both"/>
      </w:pPr>
      <w:r>
        <w:t>ensuring that</w:t>
      </w:r>
      <w:r w:rsidR="00376908" w:rsidRPr="00376908">
        <w:t xml:space="preserve"> quality processes are clearly communicated to staff and students with good practice being identified and shared across the University to aid quality enhancement. The quality assurance </w:t>
      </w:r>
      <w:r w:rsidR="00376908" w:rsidRPr="00376908">
        <w:lastRenderedPageBreak/>
        <w:t>framework is based on peer review and involve a constructive dialogue between all those involved in the processes.</w:t>
      </w:r>
    </w:p>
    <w:p w14:paraId="34D6D300" w14:textId="77777777" w:rsidR="009708A1" w:rsidRPr="009708A1" w:rsidRDefault="009708A1" w:rsidP="009708A1">
      <w:pPr>
        <w:rPr>
          <w:lang w:eastAsia="en-AU"/>
        </w:rPr>
      </w:pPr>
    </w:p>
    <w:p w14:paraId="47905AC0" w14:textId="6E8AD7E5" w:rsidR="008654C3" w:rsidRDefault="00A31154" w:rsidP="00131431">
      <w:pPr>
        <w:pStyle w:val="Heading1"/>
        <w:widowControl/>
        <w:rPr>
          <w:lang w:eastAsia="en-AU"/>
        </w:rPr>
      </w:pPr>
      <w:r>
        <w:rPr>
          <w:lang w:eastAsia="en-AU"/>
        </w:rPr>
        <w:t>Elements of t</w:t>
      </w:r>
      <w:r w:rsidR="00C615D7">
        <w:rPr>
          <w:lang w:eastAsia="en-AU"/>
        </w:rPr>
        <w:t xml:space="preserve">he </w:t>
      </w:r>
      <w:r w:rsidR="007D7822">
        <w:rPr>
          <w:lang w:eastAsia="en-AU"/>
        </w:rPr>
        <w:t>Academic Quality Assurance Framework</w:t>
      </w:r>
      <w:r w:rsidR="006E02CD">
        <w:rPr>
          <w:lang w:eastAsia="en-AU"/>
        </w:rPr>
        <w:t xml:space="preserve"> </w:t>
      </w:r>
    </w:p>
    <w:p w14:paraId="69372A11" w14:textId="062C529B" w:rsidR="00C615D7" w:rsidRDefault="006E02CD" w:rsidP="006E02CD">
      <w:pPr>
        <w:pStyle w:val="Heading2"/>
        <w:widowControl/>
        <w:spacing w:before="120"/>
        <w:ind w:left="578" w:hanging="578"/>
        <w:jc w:val="both"/>
      </w:pPr>
      <w:r w:rsidRPr="006E02CD">
        <w:t xml:space="preserve">The </w:t>
      </w:r>
      <w:r w:rsidR="00C615D7">
        <w:t>Academic Quality Assurance Framework comprises the following elements</w:t>
      </w:r>
      <w:r w:rsidR="00507B96">
        <w:t>, which are inter-related</w:t>
      </w:r>
      <w:r w:rsidR="00A31154">
        <w:t xml:space="preserve"> and act to draw together diverse individuals and information in a coherent and holistic review of quality</w:t>
      </w:r>
      <w:r w:rsidR="00C615D7">
        <w:t>:</w:t>
      </w:r>
    </w:p>
    <w:p w14:paraId="5A90A37F" w14:textId="6E08D3D3" w:rsidR="00507B96" w:rsidRDefault="00C615D7" w:rsidP="00724D00">
      <w:pPr>
        <w:pStyle w:val="ListParagraph"/>
        <w:numPr>
          <w:ilvl w:val="0"/>
          <w:numId w:val="15"/>
        </w:numPr>
        <w:rPr>
          <w:lang w:eastAsia="en-AU"/>
        </w:rPr>
      </w:pPr>
      <w:r>
        <w:rPr>
          <w:lang w:eastAsia="en-AU"/>
        </w:rPr>
        <w:t xml:space="preserve">Legislation </w:t>
      </w:r>
      <w:r w:rsidR="004F76C8">
        <w:rPr>
          <w:lang w:eastAsia="en-AU"/>
        </w:rPr>
        <w:t xml:space="preserve">and regulatory </w:t>
      </w:r>
      <w:r w:rsidR="006804C8">
        <w:rPr>
          <w:lang w:eastAsia="en-AU"/>
        </w:rPr>
        <w:t>requirements</w:t>
      </w:r>
      <w:r w:rsidR="00020D3F">
        <w:rPr>
          <w:lang w:eastAsia="en-AU"/>
        </w:rPr>
        <w:t>;</w:t>
      </w:r>
    </w:p>
    <w:p w14:paraId="6DBDD93F" w14:textId="2A00BA79" w:rsidR="00C615D7" w:rsidRDefault="007D7822" w:rsidP="00724D00">
      <w:pPr>
        <w:pStyle w:val="ListParagraph"/>
        <w:numPr>
          <w:ilvl w:val="0"/>
          <w:numId w:val="15"/>
        </w:numPr>
        <w:rPr>
          <w:lang w:eastAsia="en-AU"/>
        </w:rPr>
      </w:pPr>
      <w:r>
        <w:rPr>
          <w:lang w:eastAsia="en-AU"/>
        </w:rPr>
        <w:t>University</w:t>
      </w:r>
      <w:r w:rsidR="00C615D7">
        <w:rPr>
          <w:lang w:eastAsia="en-AU"/>
        </w:rPr>
        <w:t xml:space="preserve"> Governance </w:t>
      </w:r>
      <w:r w:rsidR="00507B96">
        <w:rPr>
          <w:lang w:eastAsia="en-AU"/>
        </w:rPr>
        <w:t>Arrangements</w:t>
      </w:r>
      <w:r w:rsidR="00020D3F">
        <w:rPr>
          <w:lang w:eastAsia="en-AU"/>
        </w:rPr>
        <w:t>; and</w:t>
      </w:r>
    </w:p>
    <w:p w14:paraId="602D78E6" w14:textId="78FE6F39" w:rsidR="007D7822" w:rsidRDefault="00507B96" w:rsidP="00724D00">
      <w:pPr>
        <w:pStyle w:val="ListParagraph"/>
        <w:numPr>
          <w:ilvl w:val="0"/>
          <w:numId w:val="15"/>
        </w:numPr>
        <w:rPr>
          <w:lang w:eastAsia="en-AU"/>
        </w:rPr>
      </w:pPr>
      <w:r>
        <w:rPr>
          <w:lang w:eastAsia="en-AU"/>
        </w:rPr>
        <w:t xml:space="preserve">Quality </w:t>
      </w:r>
      <w:r w:rsidR="00A31154">
        <w:rPr>
          <w:lang w:eastAsia="en-AU"/>
        </w:rPr>
        <w:t>C</w:t>
      </w:r>
      <w:r w:rsidR="00A730CC">
        <w:rPr>
          <w:lang w:eastAsia="en-AU"/>
        </w:rPr>
        <w:t>ontrol</w:t>
      </w:r>
      <w:r w:rsidR="00E611DD">
        <w:rPr>
          <w:lang w:eastAsia="en-AU"/>
        </w:rPr>
        <w:t xml:space="preserve"> &amp; Monitoring</w:t>
      </w:r>
      <w:r w:rsidR="00020D3F">
        <w:rPr>
          <w:lang w:eastAsia="en-AU"/>
        </w:rPr>
        <w:t>.</w:t>
      </w:r>
      <w:r w:rsidR="00A730CC">
        <w:rPr>
          <w:lang w:eastAsia="en-AU"/>
        </w:rPr>
        <w:t xml:space="preserve"> </w:t>
      </w:r>
    </w:p>
    <w:p w14:paraId="3328A850" w14:textId="77777777" w:rsidR="007E5BFF" w:rsidRDefault="007E5BFF" w:rsidP="007E5BFF">
      <w:pPr>
        <w:ind w:left="578"/>
        <w:rPr>
          <w:lang w:eastAsia="en-AU"/>
        </w:rPr>
      </w:pPr>
    </w:p>
    <w:p w14:paraId="6997406B" w14:textId="34851E9B" w:rsidR="00023A7D" w:rsidRPr="00023A7D" w:rsidRDefault="00023A7D" w:rsidP="00A31154">
      <w:pPr>
        <w:pStyle w:val="Heading2"/>
        <w:widowControl/>
        <w:spacing w:before="120"/>
        <w:ind w:left="578" w:hanging="578"/>
        <w:jc w:val="both"/>
        <w:rPr>
          <w:b/>
          <w:bCs/>
        </w:rPr>
      </w:pPr>
      <w:r w:rsidRPr="00023A7D">
        <w:rPr>
          <w:b/>
          <w:bCs/>
        </w:rPr>
        <w:t>Legislation and Regulatory Requirements</w:t>
      </w:r>
    </w:p>
    <w:p w14:paraId="1E850079" w14:textId="2E5636BF" w:rsidR="004F76C8" w:rsidRDefault="004F76C8" w:rsidP="00023A7D">
      <w:pPr>
        <w:pStyle w:val="Heading6"/>
        <w:keepNext w:val="0"/>
        <w:keepLines w:val="0"/>
        <w:numPr>
          <w:ilvl w:val="0"/>
          <w:numId w:val="18"/>
        </w:numPr>
        <w:jc w:val="both"/>
      </w:pPr>
      <w:r>
        <w:t xml:space="preserve">The statutory requirements of the following legislations and regulatory </w:t>
      </w:r>
      <w:r w:rsidR="006804C8">
        <w:t>requirements</w:t>
      </w:r>
      <w:r>
        <w:t xml:space="preserve"> are</w:t>
      </w:r>
      <w:r w:rsidR="006804C8">
        <w:t>:</w:t>
      </w:r>
    </w:p>
    <w:p w14:paraId="78AB546D" w14:textId="24B0BF5E" w:rsidR="00496E54" w:rsidRPr="00496E54" w:rsidRDefault="00496E54" w:rsidP="00724D00">
      <w:pPr>
        <w:pStyle w:val="ListParagraph"/>
        <w:numPr>
          <w:ilvl w:val="0"/>
          <w:numId w:val="16"/>
        </w:numPr>
        <w:rPr>
          <w:lang w:eastAsia="en-AU"/>
        </w:rPr>
      </w:pPr>
      <w:r w:rsidRPr="00496E54">
        <w:rPr>
          <w:lang w:eastAsia="en-AU"/>
        </w:rPr>
        <w:t>Education Services for Overseas Students Act 2000 (ESOS)</w:t>
      </w:r>
      <w:r w:rsidR="006804C8">
        <w:rPr>
          <w:lang w:eastAsia="en-AU"/>
        </w:rPr>
        <w:t>;</w:t>
      </w:r>
    </w:p>
    <w:p w14:paraId="76D853B0" w14:textId="3DDD2100" w:rsidR="00496E54" w:rsidRDefault="00496E54" w:rsidP="00724D00">
      <w:pPr>
        <w:pStyle w:val="ListParagraph"/>
        <w:numPr>
          <w:ilvl w:val="0"/>
          <w:numId w:val="16"/>
        </w:numPr>
        <w:rPr>
          <w:lang w:eastAsia="en-AU"/>
        </w:rPr>
      </w:pPr>
      <w:r w:rsidRPr="00496E54">
        <w:rPr>
          <w:lang w:eastAsia="en-AU"/>
        </w:rPr>
        <w:t>ESOS Regulations 2019</w:t>
      </w:r>
      <w:r w:rsidR="006804C8">
        <w:rPr>
          <w:lang w:eastAsia="en-AU"/>
        </w:rPr>
        <w:t>;</w:t>
      </w:r>
    </w:p>
    <w:p w14:paraId="6747CDB2" w14:textId="366972F5" w:rsidR="006804C8" w:rsidRPr="00496E54" w:rsidRDefault="006804C8" w:rsidP="00724D00">
      <w:pPr>
        <w:pStyle w:val="ListParagraph"/>
        <w:numPr>
          <w:ilvl w:val="0"/>
          <w:numId w:val="16"/>
        </w:numPr>
        <w:rPr>
          <w:lang w:eastAsia="en-AU"/>
        </w:rPr>
      </w:pPr>
      <w:r>
        <w:rPr>
          <w:lang w:eastAsia="en-AU"/>
        </w:rPr>
        <w:t xml:space="preserve">ESOS </w:t>
      </w:r>
      <w:r w:rsidR="00023A7D">
        <w:rPr>
          <w:lang w:eastAsia="en-AU"/>
        </w:rPr>
        <w:t>(</w:t>
      </w:r>
      <w:r>
        <w:rPr>
          <w:lang w:eastAsia="en-AU"/>
        </w:rPr>
        <w:t>Registration Charges</w:t>
      </w:r>
      <w:r w:rsidR="00023A7D">
        <w:rPr>
          <w:lang w:eastAsia="en-AU"/>
        </w:rPr>
        <w:t>)</w:t>
      </w:r>
      <w:r>
        <w:rPr>
          <w:lang w:eastAsia="en-AU"/>
        </w:rPr>
        <w:t xml:space="preserve"> Act 1997</w:t>
      </w:r>
      <w:r w:rsidR="00023A7D">
        <w:rPr>
          <w:lang w:eastAsia="en-AU"/>
        </w:rPr>
        <w:t>;</w:t>
      </w:r>
    </w:p>
    <w:p w14:paraId="43BA56A6" w14:textId="066BE0EC" w:rsidR="00496E54" w:rsidRDefault="00496E54" w:rsidP="00724D00">
      <w:pPr>
        <w:pStyle w:val="ListParagraph"/>
        <w:numPr>
          <w:ilvl w:val="0"/>
          <w:numId w:val="16"/>
        </w:numPr>
        <w:rPr>
          <w:lang w:eastAsia="en-AU"/>
        </w:rPr>
      </w:pPr>
      <w:r w:rsidRPr="00496E54">
        <w:rPr>
          <w:lang w:eastAsia="en-AU"/>
        </w:rPr>
        <w:t>National Code of Practice for Providers of Education and Training to Overseas Students 2018 (The National</w:t>
      </w:r>
      <w:r>
        <w:rPr>
          <w:lang w:eastAsia="en-AU"/>
        </w:rPr>
        <w:t xml:space="preserve"> </w:t>
      </w:r>
      <w:r w:rsidRPr="00496E54">
        <w:rPr>
          <w:lang w:eastAsia="en-AU"/>
        </w:rPr>
        <w:t>Code)</w:t>
      </w:r>
      <w:r w:rsidR="00023A7D">
        <w:rPr>
          <w:lang w:eastAsia="en-AU"/>
        </w:rPr>
        <w:t>;</w:t>
      </w:r>
    </w:p>
    <w:p w14:paraId="0C86139A" w14:textId="5F576278" w:rsidR="00023A7D" w:rsidRPr="00496E54" w:rsidRDefault="00023A7D" w:rsidP="00724D00">
      <w:pPr>
        <w:pStyle w:val="ListParagraph"/>
        <w:numPr>
          <w:ilvl w:val="0"/>
          <w:numId w:val="16"/>
        </w:numPr>
        <w:rPr>
          <w:lang w:eastAsia="en-AU"/>
        </w:rPr>
      </w:pPr>
      <w:r>
        <w:rPr>
          <w:lang w:eastAsia="en-AU"/>
        </w:rPr>
        <w:t>ELICOS Standards 2018;</w:t>
      </w:r>
    </w:p>
    <w:p w14:paraId="5E9AF85E" w14:textId="484FF979" w:rsidR="00496E54" w:rsidRPr="00496E54" w:rsidRDefault="00496E54" w:rsidP="00724D00">
      <w:pPr>
        <w:pStyle w:val="ListParagraph"/>
        <w:numPr>
          <w:ilvl w:val="0"/>
          <w:numId w:val="16"/>
        </w:numPr>
        <w:rPr>
          <w:lang w:eastAsia="en-AU"/>
        </w:rPr>
      </w:pPr>
      <w:r w:rsidRPr="00496E54">
        <w:rPr>
          <w:lang w:eastAsia="en-AU"/>
        </w:rPr>
        <w:t>E</w:t>
      </w:r>
      <w:r w:rsidR="00023A7D">
        <w:rPr>
          <w:lang w:eastAsia="en-AU"/>
        </w:rPr>
        <w:t>ducation Services for Overseas Students (Foundation Program Standards) Instrument 2021;</w:t>
      </w:r>
    </w:p>
    <w:p w14:paraId="2867A3FB" w14:textId="3F2284CD" w:rsidR="00496E54" w:rsidRDefault="00496E54" w:rsidP="00724D00">
      <w:pPr>
        <w:pStyle w:val="ListParagraph"/>
        <w:numPr>
          <w:ilvl w:val="0"/>
          <w:numId w:val="16"/>
        </w:numPr>
        <w:rPr>
          <w:lang w:eastAsia="en-AU"/>
        </w:rPr>
      </w:pPr>
      <w:r w:rsidRPr="00496E54">
        <w:rPr>
          <w:lang w:eastAsia="en-AU"/>
        </w:rPr>
        <w:t>Tertiary Education Quality and Standards Agency (TEQSA)</w:t>
      </w:r>
      <w:r w:rsidR="00023A7D">
        <w:rPr>
          <w:lang w:eastAsia="en-AU"/>
        </w:rPr>
        <w:t xml:space="preserve"> Act 2011;</w:t>
      </w:r>
    </w:p>
    <w:p w14:paraId="2A4D9141" w14:textId="7169D140" w:rsidR="00023A7D" w:rsidRPr="00496E54" w:rsidRDefault="00023A7D" w:rsidP="00724D00">
      <w:pPr>
        <w:pStyle w:val="ListParagraph"/>
        <w:numPr>
          <w:ilvl w:val="0"/>
          <w:numId w:val="16"/>
        </w:numPr>
        <w:rPr>
          <w:lang w:eastAsia="en-AU"/>
        </w:rPr>
      </w:pPr>
      <w:r>
        <w:rPr>
          <w:lang w:eastAsia="en-AU"/>
        </w:rPr>
        <w:t>Higher Education Standards Framework (Threshold Standards) 2021;</w:t>
      </w:r>
    </w:p>
    <w:p w14:paraId="2B19A95A" w14:textId="038D8535" w:rsidR="004F76C8" w:rsidRPr="00496E54" w:rsidRDefault="004F76C8" w:rsidP="00724D00">
      <w:pPr>
        <w:pStyle w:val="ListParagraph"/>
        <w:numPr>
          <w:ilvl w:val="0"/>
          <w:numId w:val="16"/>
        </w:numPr>
        <w:rPr>
          <w:lang w:eastAsia="en-AU"/>
        </w:rPr>
      </w:pPr>
      <w:r w:rsidRPr="00496E54">
        <w:rPr>
          <w:lang w:eastAsia="en-AU"/>
        </w:rPr>
        <w:t>Australia</w:t>
      </w:r>
      <w:r>
        <w:rPr>
          <w:lang w:eastAsia="en-AU"/>
        </w:rPr>
        <w:t>n Qualifications Framework</w:t>
      </w:r>
      <w:r w:rsidR="00023A7D">
        <w:rPr>
          <w:lang w:eastAsia="en-AU"/>
        </w:rPr>
        <w:t>;</w:t>
      </w:r>
    </w:p>
    <w:p w14:paraId="6B596A98" w14:textId="59C8247C" w:rsidR="00496E54" w:rsidRDefault="004F76C8" w:rsidP="00724D00">
      <w:pPr>
        <w:pStyle w:val="ListParagraph"/>
        <w:numPr>
          <w:ilvl w:val="0"/>
          <w:numId w:val="16"/>
        </w:numPr>
        <w:rPr>
          <w:lang w:eastAsia="en-AU"/>
        </w:rPr>
      </w:pPr>
      <w:r>
        <w:rPr>
          <w:lang w:eastAsia="en-AU"/>
        </w:rPr>
        <w:t>Regulatory bodies for professional</w:t>
      </w:r>
      <w:r w:rsidR="006165C6">
        <w:rPr>
          <w:lang w:eastAsia="en-AU"/>
        </w:rPr>
        <w:t xml:space="preserve"> accreditation of University</w:t>
      </w:r>
      <w:r>
        <w:rPr>
          <w:lang w:eastAsia="en-AU"/>
        </w:rPr>
        <w:t xml:space="preserve"> qualifications</w:t>
      </w:r>
      <w:r w:rsidR="00023A7D">
        <w:rPr>
          <w:lang w:eastAsia="en-AU"/>
        </w:rPr>
        <w:t>; and</w:t>
      </w:r>
    </w:p>
    <w:p w14:paraId="6E2CA068" w14:textId="718AD159" w:rsidR="00023A7D" w:rsidRDefault="00023A7D" w:rsidP="00724D00">
      <w:pPr>
        <w:pStyle w:val="ListParagraph"/>
        <w:numPr>
          <w:ilvl w:val="0"/>
          <w:numId w:val="16"/>
        </w:numPr>
        <w:rPr>
          <w:lang w:eastAsia="en-AU"/>
        </w:rPr>
      </w:pPr>
      <w:r>
        <w:rPr>
          <w:lang w:eastAsia="en-AU"/>
        </w:rPr>
        <w:t>Other relevant legislation and amendments which may arise from time to time.</w:t>
      </w:r>
    </w:p>
    <w:p w14:paraId="36080AAB" w14:textId="22792944" w:rsidR="00496E54" w:rsidRDefault="00496E54" w:rsidP="00496E54">
      <w:pPr>
        <w:rPr>
          <w:lang w:eastAsia="en-AU"/>
        </w:rPr>
      </w:pPr>
    </w:p>
    <w:p w14:paraId="1D30D060" w14:textId="77777777" w:rsidR="007E5BFF" w:rsidRPr="00496E54" w:rsidRDefault="007E5BFF" w:rsidP="00496E54">
      <w:pPr>
        <w:rPr>
          <w:lang w:eastAsia="en-AU"/>
        </w:rPr>
      </w:pPr>
    </w:p>
    <w:p w14:paraId="2E9875B0" w14:textId="0D0CAD3B" w:rsidR="00507B96" w:rsidRDefault="00023A7D" w:rsidP="00507B96">
      <w:pPr>
        <w:pStyle w:val="Heading2"/>
        <w:widowControl/>
        <w:spacing w:before="120"/>
        <w:ind w:left="578" w:hanging="578"/>
        <w:jc w:val="both"/>
      </w:pPr>
      <w:r w:rsidRPr="00023A7D">
        <w:rPr>
          <w:b/>
          <w:bCs/>
        </w:rPr>
        <w:t xml:space="preserve">University Governance Arrangements </w:t>
      </w:r>
      <w:r>
        <w:t>- T</w:t>
      </w:r>
      <w:r w:rsidR="004018B8">
        <w:t xml:space="preserve">he University’s </w:t>
      </w:r>
      <w:r w:rsidR="00015CFD">
        <w:t xml:space="preserve">academic </w:t>
      </w:r>
      <w:r w:rsidR="004018B8">
        <w:t>governance arrangements ensure appropriate strategic and operational oversight of the quality and standards of UWA’s academic activities. This includes the following:</w:t>
      </w:r>
    </w:p>
    <w:p w14:paraId="40FC1A2B" w14:textId="2284BE70" w:rsidR="004018B8" w:rsidRDefault="004018B8" w:rsidP="004018B8">
      <w:pPr>
        <w:rPr>
          <w:lang w:eastAsia="en-AU"/>
        </w:rPr>
      </w:pPr>
    </w:p>
    <w:p w14:paraId="598A87DB" w14:textId="43406F05" w:rsidR="004018B8" w:rsidRPr="004018B8" w:rsidRDefault="004018B8" w:rsidP="00023A7D">
      <w:pPr>
        <w:pStyle w:val="Heading6"/>
        <w:keepNext w:val="0"/>
        <w:keepLines w:val="0"/>
        <w:numPr>
          <w:ilvl w:val="0"/>
          <w:numId w:val="41"/>
        </w:numPr>
        <w:jc w:val="both"/>
      </w:pPr>
      <w:r>
        <w:t xml:space="preserve">The Senate – The Senate is the highest level of governing body constituted in accordance with Standard 6 of the Higher education Standards </w:t>
      </w:r>
      <w:r w:rsidR="00CD690D">
        <w:t>Framework</w:t>
      </w:r>
      <w:r>
        <w:t xml:space="preserve"> 2021. The UW</w:t>
      </w:r>
      <w:r w:rsidR="00086EBB">
        <w:t>A</w:t>
      </w:r>
      <w:r>
        <w:t xml:space="preserve"> </w:t>
      </w:r>
      <w:r w:rsidR="00086EBB">
        <w:t>S</w:t>
      </w:r>
      <w:r>
        <w:t xml:space="preserve">tatute outlines the Senate’s powers, roles and responsibilities on corporate governance and the oversight and accountability for the award of higher education awards/qualifications. </w:t>
      </w:r>
    </w:p>
    <w:p w14:paraId="36DE38DE" w14:textId="06386209" w:rsidR="004018B8" w:rsidRDefault="004018B8" w:rsidP="00A730CC">
      <w:pPr>
        <w:pStyle w:val="Heading6"/>
        <w:keepNext w:val="0"/>
        <w:keepLines w:val="0"/>
        <w:numPr>
          <w:ilvl w:val="0"/>
          <w:numId w:val="0"/>
        </w:numPr>
        <w:ind w:left="936"/>
        <w:jc w:val="both"/>
      </w:pPr>
    </w:p>
    <w:p w14:paraId="3C15AE63" w14:textId="0E70BC96" w:rsidR="004018B8" w:rsidRDefault="004018B8" w:rsidP="00023A7D">
      <w:pPr>
        <w:pStyle w:val="Heading6"/>
        <w:keepNext w:val="0"/>
        <w:keepLines w:val="0"/>
        <w:numPr>
          <w:ilvl w:val="0"/>
          <w:numId w:val="41"/>
        </w:numPr>
        <w:jc w:val="both"/>
      </w:pPr>
      <w:r>
        <w:t xml:space="preserve">Academic Board – The Academic Board </w:t>
      </w:r>
      <w:r w:rsidR="00086EBB">
        <w:t xml:space="preserve">is the University’s peak governing body for academic matters and is </w:t>
      </w:r>
      <w:r w:rsidR="00086EBB" w:rsidRPr="00086EBB">
        <w:t>responsible to the Senate for assuring quality, integrity and the maintenance of standards in all academic activities including teaching, scholarship and research and compliance with relevant external regulatory requirements, including the Higher Education Standards Framework</w:t>
      </w:r>
      <w:r w:rsidR="00086EBB">
        <w:t>. The Academic Board has oversight of the work, operations and governance of the following standing committees:</w:t>
      </w:r>
    </w:p>
    <w:p w14:paraId="1C63E291" w14:textId="3EF7A154" w:rsidR="004018B8" w:rsidRDefault="004018B8" w:rsidP="00A730CC">
      <w:pPr>
        <w:pStyle w:val="Heading6"/>
        <w:keepNext w:val="0"/>
        <w:keepLines w:val="0"/>
        <w:numPr>
          <w:ilvl w:val="0"/>
          <w:numId w:val="0"/>
        </w:numPr>
        <w:ind w:left="936"/>
        <w:jc w:val="both"/>
      </w:pPr>
    </w:p>
    <w:p w14:paraId="6A5682FF" w14:textId="19EFF0DB" w:rsidR="00086EBB" w:rsidRDefault="004018B8" w:rsidP="00724D00">
      <w:pPr>
        <w:pStyle w:val="Heading6"/>
        <w:keepNext w:val="0"/>
        <w:keepLines w:val="0"/>
        <w:numPr>
          <w:ilvl w:val="1"/>
          <w:numId w:val="19"/>
        </w:numPr>
        <w:ind w:left="1418"/>
        <w:jc w:val="both"/>
      </w:pPr>
      <w:r>
        <w:t xml:space="preserve">Academic </w:t>
      </w:r>
      <w:r w:rsidR="00CD690D">
        <w:t>Quality</w:t>
      </w:r>
      <w:r>
        <w:t xml:space="preserve"> </w:t>
      </w:r>
      <w:r w:rsidR="00AD6A30">
        <w:t xml:space="preserve">and Standards </w:t>
      </w:r>
      <w:r>
        <w:t>Committee</w:t>
      </w:r>
      <w:r w:rsidR="00A730CC">
        <w:t xml:space="preserve"> </w:t>
      </w:r>
      <w:r w:rsidR="00086EBB">
        <w:t xml:space="preserve">(AQSC) </w:t>
      </w:r>
      <w:r w:rsidR="007F2739">
        <w:t>–</w:t>
      </w:r>
      <w:r w:rsidR="00A730CC">
        <w:t xml:space="preserve"> </w:t>
      </w:r>
      <w:r w:rsidR="007F2739">
        <w:t>The AQSC is a s</w:t>
      </w:r>
      <w:r w:rsidR="009551AB">
        <w:t>tanding c</w:t>
      </w:r>
      <w:r w:rsidR="007F2739">
        <w:t xml:space="preserve">ommittee of the Academic Board. </w:t>
      </w:r>
      <w:r w:rsidR="00086EBB">
        <w:t>T</w:t>
      </w:r>
      <w:r w:rsidR="00A730CC" w:rsidRPr="00A730CC">
        <w:t xml:space="preserve">he conduct of quality assurance processes is delegated by Academic </w:t>
      </w:r>
      <w:r w:rsidR="00086EBB">
        <w:t xml:space="preserve">Board </w:t>
      </w:r>
      <w:r w:rsidR="00A730CC" w:rsidRPr="00A730CC">
        <w:t xml:space="preserve">to </w:t>
      </w:r>
      <w:r w:rsidR="00086EBB">
        <w:t xml:space="preserve">the Academic Quality and Standards Committee. The AQSC monitors the University’s overall compliance with the requirements of the </w:t>
      </w:r>
      <w:r w:rsidR="00086EBB" w:rsidRPr="00086EBB">
        <w:t>Tertiary Education Quality and Standards Agency;</w:t>
      </w:r>
      <w:r w:rsidR="00086EBB">
        <w:t xml:space="preserve"> </w:t>
      </w:r>
      <w:r w:rsidR="00086EBB" w:rsidRPr="00086EBB">
        <w:t>ensure</w:t>
      </w:r>
      <w:r w:rsidR="00086EBB">
        <w:t>s</w:t>
      </w:r>
      <w:r w:rsidR="00086EBB" w:rsidRPr="00086EBB">
        <w:t xml:space="preserve"> alignment of relevant University policies and procedures with the requirements issued by external regulatory agencies and professional accreditation bodies as they relate to learning, teaching, research training and assessment;</w:t>
      </w:r>
      <w:r w:rsidR="00086EBB">
        <w:t xml:space="preserve"> and </w:t>
      </w:r>
      <w:r w:rsidR="00086EBB" w:rsidRPr="00086EBB">
        <w:t>monitor quality and standard of undergraduate, postgraduate coursework and higher degree by research degree courses taught to ensure that the University's academic quality and standards framework is implemented appropriately</w:t>
      </w:r>
      <w:r w:rsidR="007F2739">
        <w:t>.</w:t>
      </w:r>
    </w:p>
    <w:p w14:paraId="40D7857B" w14:textId="272891A8" w:rsidR="007F2739" w:rsidRDefault="007F2739" w:rsidP="007F2739">
      <w:pPr>
        <w:rPr>
          <w:lang w:eastAsia="en-AU"/>
        </w:rPr>
      </w:pPr>
    </w:p>
    <w:p w14:paraId="64EB1CDC" w14:textId="3CFCB481" w:rsidR="00EA402B" w:rsidRPr="00EA402B" w:rsidRDefault="007F2739" w:rsidP="00FE624C">
      <w:pPr>
        <w:pStyle w:val="Heading6"/>
        <w:keepNext w:val="0"/>
        <w:keepLines w:val="0"/>
        <w:numPr>
          <w:ilvl w:val="1"/>
          <w:numId w:val="19"/>
        </w:numPr>
        <w:ind w:left="1418"/>
        <w:jc w:val="both"/>
      </w:pPr>
      <w:r>
        <w:t>Board of the Graduate Research School (BGRS) – The BGRS is a s</w:t>
      </w:r>
      <w:r w:rsidR="009551AB">
        <w:t>tanding c</w:t>
      </w:r>
      <w:r>
        <w:t xml:space="preserve">ommittee of the Academic Board. </w:t>
      </w:r>
      <w:r w:rsidR="00EA402B">
        <w:t xml:space="preserve">It </w:t>
      </w:r>
      <w:r w:rsidR="00EA402B" w:rsidRPr="00EA402B">
        <w:t>advise and make recommendations to the Academic Board/Council and/or other University bodies or officers, as appropriate, on matters relating to postgraduate research, research training and supervision and on policy matters related to the establishment and administration of postgraduate research awards within the University;</w:t>
      </w:r>
      <w:r w:rsidR="00EA402B">
        <w:t xml:space="preserve"> and </w:t>
      </w:r>
      <w:r w:rsidR="00EA402B" w:rsidRPr="00EA402B">
        <w:rPr>
          <w:bCs/>
          <w:lang w:val="en"/>
        </w:rPr>
        <w:t>deal</w:t>
      </w:r>
      <w:r w:rsidR="00EA402B">
        <w:rPr>
          <w:bCs/>
          <w:lang w:val="en"/>
        </w:rPr>
        <w:t>s</w:t>
      </w:r>
      <w:r w:rsidR="00EA402B" w:rsidRPr="00EA402B">
        <w:rPr>
          <w:bCs/>
          <w:lang w:val="en"/>
        </w:rPr>
        <w:t xml:space="preserve"> </w:t>
      </w:r>
      <w:r w:rsidR="00EA402B" w:rsidRPr="00EA402B">
        <w:rPr>
          <w:bCs/>
          <w:lang w:val="en"/>
        </w:rPr>
        <w:lastRenderedPageBreak/>
        <w:t>exclusively with all matters, including review of complex cases, relating to admission, enrolment, candidature management, supervision and examination of candidates for the degree of Doctor of Philosophy and the degrees of Master by Research by thesis as are approved by the Academic Board</w:t>
      </w:r>
      <w:r w:rsidR="00EA402B">
        <w:rPr>
          <w:bCs/>
          <w:lang w:val="en"/>
        </w:rPr>
        <w:t>.</w:t>
      </w:r>
    </w:p>
    <w:p w14:paraId="378712B2" w14:textId="700918C4" w:rsidR="007F2739" w:rsidRDefault="007F2739" w:rsidP="007F2739">
      <w:pPr>
        <w:pStyle w:val="Heading6"/>
        <w:keepNext w:val="0"/>
        <w:keepLines w:val="0"/>
        <w:numPr>
          <w:ilvl w:val="0"/>
          <w:numId w:val="0"/>
        </w:numPr>
        <w:ind w:left="1418"/>
        <w:jc w:val="both"/>
      </w:pPr>
    </w:p>
    <w:p w14:paraId="16D212E1" w14:textId="11D5F221" w:rsidR="00EA402B" w:rsidRPr="00EA402B" w:rsidRDefault="007F2739" w:rsidP="00EA402B">
      <w:pPr>
        <w:pStyle w:val="Heading6"/>
        <w:keepNext w:val="0"/>
        <w:keepLines w:val="0"/>
        <w:numPr>
          <w:ilvl w:val="1"/>
          <w:numId w:val="19"/>
        </w:numPr>
        <w:ind w:left="1418"/>
        <w:jc w:val="both"/>
      </w:pPr>
      <w:r>
        <w:t>University Curriculum Committee (UCC) – The UCC is a s</w:t>
      </w:r>
      <w:r w:rsidR="009551AB">
        <w:t xml:space="preserve">tanding </w:t>
      </w:r>
      <w:r>
        <w:t xml:space="preserve">committee of the Academic Board. </w:t>
      </w:r>
      <w:r w:rsidR="00EA402B">
        <w:t xml:space="preserve">It </w:t>
      </w:r>
      <w:r w:rsidR="00EA402B" w:rsidRPr="00EA402B">
        <w:t>considers and makes recommendations to the </w:t>
      </w:r>
      <w:hyperlink r:id="rId12" w:history="1">
        <w:r w:rsidR="00EA402B" w:rsidRPr="00EA402B">
          <w:t xml:space="preserve">Academic Bord </w:t>
        </w:r>
      </w:hyperlink>
      <w:r w:rsidR="00EA402B" w:rsidRPr="00EA402B">
        <w:t>or delegated authority (Academic Council) on proposals submitted through the appropriate process for the introduction of new curriculum offerings; approve changes to curriculum, where relevant; advise and make recommendations to the Education Committee on policy and strategic matters relating to the academic structure and framework of coursework courses; and provide coursework curriculum development advice to schools, other University bodies or officers as appropriate.</w:t>
      </w:r>
      <w:r w:rsidR="007E5BFF">
        <w:t xml:space="preserve"> To facilitate knowledge domain specific input in the approval of curriculum proposals, the University’s five Boards of Studies operate as sub-committees of the UCC and provide detailed feedback on broader proposals while approving detailed proposals under delegated authority.</w:t>
      </w:r>
    </w:p>
    <w:p w14:paraId="5648CBC5" w14:textId="77777777" w:rsidR="00EA402B" w:rsidRPr="00EA402B" w:rsidRDefault="00EA402B" w:rsidP="00EA402B">
      <w:pPr>
        <w:rPr>
          <w:b/>
          <w:bCs/>
          <w:lang w:eastAsia="en-AU"/>
        </w:rPr>
      </w:pPr>
    </w:p>
    <w:p w14:paraId="3CF4E663" w14:textId="5EB733DA" w:rsidR="004018B8" w:rsidRDefault="00086EBB" w:rsidP="00724D00">
      <w:pPr>
        <w:pStyle w:val="Heading6"/>
        <w:keepNext w:val="0"/>
        <w:keepLines w:val="0"/>
        <w:numPr>
          <w:ilvl w:val="1"/>
          <w:numId w:val="19"/>
        </w:numPr>
        <w:ind w:left="1418"/>
        <w:jc w:val="both"/>
      </w:pPr>
      <w:r>
        <w:t>University Education Committee</w:t>
      </w:r>
      <w:r w:rsidR="007F2739">
        <w:t xml:space="preserve"> (UEC) – The UEC is a s</w:t>
      </w:r>
      <w:r w:rsidR="009551AB">
        <w:t xml:space="preserve">tanding </w:t>
      </w:r>
      <w:r w:rsidR="007F2739">
        <w:t>committee of the Academic Board. Its primary focus is to develop</w:t>
      </w:r>
      <w:r w:rsidR="007F2739" w:rsidRPr="007F2739">
        <w:t xml:space="preserve"> for Academic Board approval, and in respect of the University’s taught course provision, strategies, policies and regulations relating to learning, teaching, assessment, quality assurance and enhancement, and to have oversight, on behalf of Academic Council, of academic standards and of the academic experience of taught students.</w:t>
      </w:r>
    </w:p>
    <w:p w14:paraId="18D727FC" w14:textId="1125A6C0" w:rsidR="007F2739" w:rsidRDefault="007F2739" w:rsidP="007F2739">
      <w:pPr>
        <w:rPr>
          <w:lang w:eastAsia="en-AU"/>
        </w:rPr>
      </w:pPr>
    </w:p>
    <w:p w14:paraId="6C7AC0B4" w14:textId="72784910" w:rsidR="007F2739" w:rsidRPr="007F2739" w:rsidRDefault="007F2739" w:rsidP="00724D00">
      <w:pPr>
        <w:pStyle w:val="Heading6"/>
        <w:keepNext w:val="0"/>
        <w:keepLines w:val="0"/>
        <w:numPr>
          <w:ilvl w:val="1"/>
          <w:numId w:val="19"/>
        </w:numPr>
        <w:ind w:left="1418"/>
        <w:jc w:val="both"/>
      </w:pPr>
      <w:r>
        <w:t xml:space="preserve">Student Experience Committee (SEC) – The SEC is a </w:t>
      </w:r>
      <w:r w:rsidR="009551AB">
        <w:t>sub-committee</w:t>
      </w:r>
      <w:r>
        <w:t xml:space="preserve"> of the UEC. </w:t>
      </w:r>
      <w:r w:rsidRPr="007F2739">
        <w:t>Its primary focus is to promote student engagement and sense of community and to review, monitor and enhance student satisfaction and all aspects of the student experience.</w:t>
      </w:r>
    </w:p>
    <w:p w14:paraId="56D9E5AB" w14:textId="2C6CA69A" w:rsidR="00507B96" w:rsidRDefault="00507B96" w:rsidP="00C615D7">
      <w:pPr>
        <w:rPr>
          <w:lang w:eastAsia="en-AU"/>
        </w:rPr>
      </w:pPr>
    </w:p>
    <w:p w14:paraId="5F40266E" w14:textId="5776DFAA" w:rsidR="007F2739" w:rsidRDefault="007F2739" w:rsidP="00724D00">
      <w:pPr>
        <w:pStyle w:val="Heading6"/>
        <w:keepNext w:val="0"/>
        <w:keepLines w:val="0"/>
        <w:numPr>
          <w:ilvl w:val="1"/>
          <w:numId w:val="19"/>
        </w:numPr>
        <w:ind w:left="1418"/>
        <w:jc w:val="both"/>
      </w:pPr>
      <w:r>
        <w:t xml:space="preserve">University Research Committee (URC) - </w:t>
      </w:r>
      <w:r w:rsidRPr="007F2739">
        <w:t>The URC is a s</w:t>
      </w:r>
      <w:r w:rsidR="009551AB">
        <w:t>tanding c</w:t>
      </w:r>
      <w:r w:rsidRPr="007F2739">
        <w:t>ommittee of Academic Board. Its primary focus is to develop and monitor the University’s research policy and strategy.</w:t>
      </w:r>
    </w:p>
    <w:p w14:paraId="6F3C5A7F" w14:textId="3AA2E1B8" w:rsidR="004018B8" w:rsidRDefault="004018B8" w:rsidP="00C615D7">
      <w:pPr>
        <w:rPr>
          <w:lang w:eastAsia="en-AU"/>
        </w:rPr>
      </w:pPr>
    </w:p>
    <w:p w14:paraId="15BA2DBB" w14:textId="77777777" w:rsidR="007E5BFF" w:rsidRDefault="007E5BFF" w:rsidP="00C615D7">
      <w:pPr>
        <w:rPr>
          <w:lang w:eastAsia="en-AU"/>
        </w:rPr>
      </w:pPr>
    </w:p>
    <w:p w14:paraId="7486FCCE" w14:textId="7A9A048D" w:rsidR="00C615D7" w:rsidRPr="007E5BFF" w:rsidRDefault="00507B96" w:rsidP="00507B96">
      <w:pPr>
        <w:pStyle w:val="Heading2"/>
        <w:widowControl/>
        <w:spacing w:before="120"/>
        <w:ind w:left="578" w:hanging="578"/>
        <w:jc w:val="both"/>
        <w:rPr>
          <w:b/>
          <w:bCs/>
        </w:rPr>
      </w:pPr>
      <w:r w:rsidRPr="007E5BFF">
        <w:rPr>
          <w:b/>
          <w:bCs/>
        </w:rPr>
        <w:t xml:space="preserve">Quality </w:t>
      </w:r>
      <w:r w:rsidR="00DB183B" w:rsidRPr="007E5BFF">
        <w:rPr>
          <w:b/>
          <w:bCs/>
        </w:rPr>
        <w:t>C</w:t>
      </w:r>
      <w:r w:rsidR="004018B8" w:rsidRPr="007E5BFF">
        <w:rPr>
          <w:b/>
          <w:bCs/>
        </w:rPr>
        <w:t xml:space="preserve">ontrol </w:t>
      </w:r>
      <w:r w:rsidR="00271A99" w:rsidRPr="007E5BFF">
        <w:rPr>
          <w:b/>
          <w:bCs/>
        </w:rPr>
        <w:t>&amp; Monitoring</w:t>
      </w:r>
    </w:p>
    <w:p w14:paraId="4569F1E5" w14:textId="20B7B281" w:rsidR="0057685B" w:rsidRDefault="00A730CC" w:rsidP="00724D00">
      <w:pPr>
        <w:pStyle w:val="Heading6"/>
        <w:keepNext w:val="0"/>
        <w:keepLines w:val="0"/>
        <w:numPr>
          <w:ilvl w:val="0"/>
          <w:numId w:val="20"/>
        </w:numPr>
        <w:jc w:val="both"/>
      </w:pPr>
      <w:r>
        <w:t xml:space="preserve">Academic </w:t>
      </w:r>
      <w:r w:rsidR="0057685B">
        <w:t>Integrity monitoring - The University</w:t>
      </w:r>
      <w:r w:rsidR="0097511C">
        <w:t>,</w:t>
      </w:r>
      <w:r w:rsidR="0057685B">
        <w:t xml:space="preserve"> </w:t>
      </w:r>
      <w:r w:rsidR="0097511C">
        <w:t xml:space="preserve">guided by its Academic Integrity Policy, </w:t>
      </w:r>
      <w:r w:rsidR="0057685B">
        <w:t>monitors the data collected on Academic Integrity breaches in learning and teaching activities at the University and additionally those collected by any other party involved in the provision of higher education for the University, on an annual cycle, to inform ongoing quality improvement of the University’s Academic Integrity support and processes.</w:t>
      </w:r>
    </w:p>
    <w:p w14:paraId="17229828" w14:textId="24F7B376" w:rsidR="0057685B" w:rsidRDefault="001942AF" w:rsidP="00724D00">
      <w:pPr>
        <w:pStyle w:val="Heading6"/>
        <w:keepNext w:val="0"/>
        <w:keepLines w:val="0"/>
        <w:numPr>
          <w:ilvl w:val="0"/>
          <w:numId w:val="20"/>
        </w:numPr>
        <w:jc w:val="both"/>
      </w:pPr>
      <w:r>
        <w:t xml:space="preserve">University entry and </w:t>
      </w:r>
      <w:r w:rsidR="0057685B">
        <w:t xml:space="preserve">Academic Standards monitoring </w:t>
      </w:r>
      <w:r w:rsidR="00A730CC">
        <w:t xml:space="preserve">– The University </w:t>
      </w:r>
      <w:r w:rsidR="00A730CC" w:rsidRPr="0057685B">
        <w:t>has developed policies and</w:t>
      </w:r>
      <w:r w:rsidR="00780D6D">
        <w:t xml:space="preserve"> </w:t>
      </w:r>
      <w:r w:rsidR="00A730CC" w:rsidRPr="0057685B">
        <w:t xml:space="preserve">procedures and methods in the assessment of Academic </w:t>
      </w:r>
      <w:r w:rsidR="00E611DD">
        <w:t xml:space="preserve">and entry </w:t>
      </w:r>
      <w:r w:rsidR="00A730CC" w:rsidRPr="0057685B">
        <w:t>Standards.</w:t>
      </w:r>
      <w:r w:rsidR="0057685B">
        <w:t xml:space="preserve"> The University policy on Assessment specifies the </w:t>
      </w:r>
      <w:r w:rsidR="0057685B" w:rsidRPr="0057685B">
        <w:t>specifies the quality control mechanisms for ensuring that</w:t>
      </w:r>
      <w:r w:rsidR="0057685B">
        <w:t xml:space="preserve"> </w:t>
      </w:r>
      <w:r w:rsidR="0057685B" w:rsidRPr="0057685B">
        <w:t>methods of assessment are consistent with the learning outcomes being assessed,</w:t>
      </w:r>
      <w:r w:rsidR="0057685B">
        <w:t xml:space="preserve"> </w:t>
      </w:r>
      <w:r w:rsidR="0057685B" w:rsidRPr="0057685B">
        <w:t xml:space="preserve">are capable of confirming that all specified learning outcomes are achieved and </w:t>
      </w:r>
      <w:r w:rsidR="00CD690D" w:rsidRPr="0057685B">
        <w:t>that grades</w:t>
      </w:r>
      <w:r w:rsidR="0057685B" w:rsidRPr="0057685B">
        <w:t xml:space="preserve"> awarded reflect the level of student attainment. (Higher Education Standards</w:t>
      </w:r>
      <w:r w:rsidR="0057685B">
        <w:t xml:space="preserve"> </w:t>
      </w:r>
      <w:r w:rsidR="0057685B" w:rsidRPr="0057685B">
        <w:t>Framework 20</w:t>
      </w:r>
      <w:r w:rsidR="0057685B">
        <w:t>21</w:t>
      </w:r>
      <w:r w:rsidR="0057685B" w:rsidRPr="0057685B">
        <w:t xml:space="preserve"> Standard 1.4.3)</w:t>
      </w:r>
      <w:r w:rsidR="00E611DD">
        <w:t>. The Admissions Policy</w:t>
      </w:r>
      <w:r w:rsidR="002721F4">
        <w:t xml:space="preserve"> </w:t>
      </w:r>
      <w:r w:rsidR="00196969">
        <w:t xml:space="preserve">and the Adequate research Preparation Policy </w:t>
      </w:r>
      <w:r w:rsidR="002721F4">
        <w:t>set the standards for entry into the University for undertaking coursework study</w:t>
      </w:r>
      <w:r w:rsidR="00196969">
        <w:t xml:space="preserve"> and research training respectively</w:t>
      </w:r>
      <w:r w:rsidR="002721F4">
        <w:t xml:space="preserve">. </w:t>
      </w:r>
      <w:r w:rsidR="00E611DD">
        <w:t xml:space="preserve"> </w:t>
      </w:r>
    </w:p>
    <w:p w14:paraId="24F75441" w14:textId="77777777" w:rsidR="00E611DD" w:rsidRDefault="00E611DD" w:rsidP="00E611DD">
      <w:pPr>
        <w:pStyle w:val="Heading6"/>
        <w:keepNext w:val="0"/>
        <w:keepLines w:val="0"/>
        <w:numPr>
          <w:ilvl w:val="0"/>
          <w:numId w:val="20"/>
        </w:numPr>
        <w:jc w:val="both"/>
      </w:pPr>
      <w:r>
        <w:t xml:space="preserve">External Benchmarking - </w:t>
      </w:r>
      <w:r w:rsidRPr="0057685B">
        <w:t>The University participates in</w:t>
      </w:r>
      <w:r>
        <w:t xml:space="preserve"> </w:t>
      </w:r>
      <w:r w:rsidRPr="0057685B">
        <w:t>benchmarking activities to ensure ongoing comparability with other higher education</w:t>
      </w:r>
      <w:r>
        <w:t xml:space="preserve"> </w:t>
      </w:r>
      <w:r w:rsidRPr="0057685B">
        <w:t>courses where applicable and to compare the performance and standards</w:t>
      </w:r>
      <w:r>
        <w:t xml:space="preserve"> </w:t>
      </w:r>
      <w:r w:rsidRPr="0057685B">
        <w:t>on teaching, student learning outcomes and engagement and graduate outcomes.</w:t>
      </w:r>
    </w:p>
    <w:p w14:paraId="3F67F697" w14:textId="77777777" w:rsidR="00E611DD" w:rsidRPr="0057685B" w:rsidRDefault="00E611DD" w:rsidP="00E611DD">
      <w:pPr>
        <w:pStyle w:val="Heading6"/>
        <w:keepNext w:val="0"/>
        <w:keepLines w:val="0"/>
        <w:numPr>
          <w:ilvl w:val="0"/>
          <w:numId w:val="20"/>
        </w:numPr>
        <w:jc w:val="both"/>
      </w:pPr>
      <w:r w:rsidRPr="0057685B">
        <w:t xml:space="preserve">Course Monitoring - The Course </w:t>
      </w:r>
      <w:r>
        <w:t>and School</w:t>
      </w:r>
      <w:r w:rsidRPr="0057685B">
        <w:t xml:space="preserve"> Review Policy specifies the mechanisms and cycles</w:t>
      </w:r>
      <w:r>
        <w:t xml:space="preserve"> </w:t>
      </w:r>
      <w:r w:rsidRPr="0057685B">
        <w:t xml:space="preserve">for reviewing and reporting on courses and </w:t>
      </w:r>
      <w:r>
        <w:t>schools</w:t>
      </w:r>
      <w:r w:rsidRPr="0057685B">
        <w:t xml:space="preserve"> and for ensuring adequate</w:t>
      </w:r>
      <w:r>
        <w:t xml:space="preserve"> </w:t>
      </w:r>
      <w:r w:rsidRPr="0057685B">
        <w:t>benchmarking processes and procedures are in place.</w:t>
      </w:r>
      <w:r>
        <w:t xml:space="preserve"> </w:t>
      </w:r>
      <w:r w:rsidRPr="0057685B">
        <w:t>Data relating to student outcomes and student performance is collected, monitored</w:t>
      </w:r>
      <w:r>
        <w:t xml:space="preserve"> </w:t>
      </w:r>
      <w:r w:rsidRPr="0057685B">
        <w:t>and benchmarked to ensure ongoing comparability with other higher education</w:t>
      </w:r>
      <w:r>
        <w:t xml:space="preserve"> </w:t>
      </w:r>
      <w:r w:rsidRPr="0057685B">
        <w:t>courses, and for the purposes of review, reflection and improvement.</w:t>
      </w:r>
    </w:p>
    <w:p w14:paraId="126BC272" w14:textId="4DAC8EA8" w:rsidR="00E611DD" w:rsidRPr="00271A99" w:rsidRDefault="00E611DD" w:rsidP="00E611DD">
      <w:pPr>
        <w:pStyle w:val="Heading6"/>
        <w:keepNext w:val="0"/>
        <w:keepLines w:val="0"/>
        <w:numPr>
          <w:ilvl w:val="0"/>
          <w:numId w:val="20"/>
        </w:numPr>
        <w:jc w:val="both"/>
      </w:pPr>
      <w:r w:rsidRPr="0097511C">
        <w:t>Student Cohort monitoring</w:t>
      </w:r>
      <w:r>
        <w:t xml:space="preserve"> – </w:t>
      </w:r>
      <w:r w:rsidRPr="00271A99">
        <w:t xml:space="preserve">The University has several mechanisms for identifying students that are at risk of not performing well (this could be a predicted risk or an observed risk).  This enables </w:t>
      </w:r>
      <w:r>
        <w:t xml:space="preserve">the University </w:t>
      </w:r>
      <w:r w:rsidRPr="00271A99">
        <w:t xml:space="preserve">to intervene early, to support students and mitigate against these risks occurring in the future. Typical indicators of student performance </w:t>
      </w:r>
      <w:r w:rsidR="00CD690D" w:rsidRPr="00271A99">
        <w:t>include</w:t>
      </w:r>
      <w:r>
        <w:t xml:space="preserve"> </w:t>
      </w:r>
      <w:r w:rsidR="00F44DA8">
        <w:t xml:space="preserve">English Language competency </w:t>
      </w:r>
      <w:r w:rsidR="00F44DA8">
        <w:lastRenderedPageBreak/>
        <w:t xml:space="preserve">monitoring, </w:t>
      </w:r>
      <w:r w:rsidR="007E5BFF">
        <w:t>retention</w:t>
      </w:r>
      <w:r w:rsidRPr="00271A99">
        <w:t xml:space="preserve"> rates</w:t>
      </w:r>
      <w:r>
        <w:t xml:space="preserve">, </w:t>
      </w:r>
      <w:r w:rsidRPr="00271A99">
        <w:t>progress</w:t>
      </w:r>
      <w:r w:rsidR="007E5BFF">
        <w:t>ion</w:t>
      </w:r>
      <w:r w:rsidRPr="00271A99">
        <w:t xml:space="preserve"> rates</w:t>
      </w:r>
      <w:r>
        <w:t xml:space="preserve">, </w:t>
      </w:r>
      <w:r w:rsidRPr="00271A99">
        <w:t>completion rates</w:t>
      </w:r>
      <w:r>
        <w:t xml:space="preserve">, </w:t>
      </w:r>
      <w:r w:rsidRPr="00271A99">
        <w:t>grade distributions</w:t>
      </w:r>
      <w:r>
        <w:t xml:space="preserve">, </w:t>
      </w:r>
      <w:r w:rsidRPr="00271A99">
        <w:t>student satisfaction</w:t>
      </w:r>
      <w:r>
        <w:t xml:space="preserve">, </w:t>
      </w:r>
      <w:r w:rsidR="00F44DA8">
        <w:t xml:space="preserve">and </w:t>
      </w:r>
      <w:r w:rsidRPr="00271A99">
        <w:t>graduate success.</w:t>
      </w:r>
      <w:r w:rsidR="00F44DA8">
        <w:t xml:space="preserve"> The Academic Quality and Standards Committee is </w:t>
      </w:r>
      <w:r w:rsidR="00F44DA8" w:rsidRPr="007E5BFF">
        <w:t>required to monitor its compliance of the Education Services for Overseas Students (ESOS) Act, and when required, provide reports to the relevant governing bodies and the University Executive.</w:t>
      </w:r>
    </w:p>
    <w:p w14:paraId="2A676EF0" w14:textId="6AD40F5F" w:rsidR="0057685B" w:rsidRDefault="0097511C" w:rsidP="00724D00">
      <w:pPr>
        <w:pStyle w:val="Heading6"/>
        <w:keepNext w:val="0"/>
        <w:keepLines w:val="0"/>
        <w:numPr>
          <w:ilvl w:val="0"/>
          <w:numId w:val="20"/>
        </w:numPr>
        <w:jc w:val="both"/>
      </w:pPr>
      <w:r>
        <w:t xml:space="preserve">Higher Education </w:t>
      </w:r>
      <w:r w:rsidR="0057685B" w:rsidRPr="0097511C">
        <w:t xml:space="preserve">Academic </w:t>
      </w:r>
      <w:r>
        <w:t xml:space="preserve">Scholarship </w:t>
      </w:r>
      <w:r w:rsidR="00271A99">
        <w:t>–</w:t>
      </w:r>
      <w:r>
        <w:t xml:space="preserve"> </w:t>
      </w:r>
      <w:r w:rsidR="00724D00">
        <w:t>S</w:t>
      </w:r>
      <w:r w:rsidR="00724D00" w:rsidRPr="00724D00">
        <w:t xml:space="preserve">cholarship that informs teaching is an essential characteristic of higher education providers, as is engagement with advanced knowledge and </w:t>
      </w:r>
      <w:r w:rsidR="00CD690D" w:rsidRPr="00724D00">
        <w:t>inquiry</w:t>
      </w:r>
      <w:r w:rsidR="00CD690D">
        <w:t>. The</w:t>
      </w:r>
      <w:r w:rsidR="00271A99">
        <w:t xml:space="preserve"> University Policy on </w:t>
      </w:r>
      <w:r w:rsidR="00724D00">
        <w:t xml:space="preserve">Higher Education Academic Scholarship is the mechanism through which the University’s compliance with the following Higher Education Standard Thresholds </w:t>
      </w:r>
      <w:r w:rsidR="00F44DA8">
        <w:t xml:space="preserve">2021 </w:t>
      </w:r>
      <w:r w:rsidR="00724D00">
        <w:t xml:space="preserve">are monitored: </w:t>
      </w:r>
    </w:p>
    <w:p w14:paraId="7EBF32ED" w14:textId="77777777" w:rsidR="00724D00" w:rsidRDefault="00724D00" w:rsidP="00724D00">
      <w:pPr>
        <w:pStyle w:val="Heading6"/>
        <w:keepNext w:val="0"/>
        <w:keepLines w:val="0"/>
        <w:numPr>
          <w:ilvl w:val="0"/>
          <w:numId w:val="21"/>
        </w:numPr>
        <w:jc w:val="both"/>
      </w:pPr>
      <w:r w:rsidRPr="00724D00">
        <w:t>scholarship informs course design; the content and learning activities of a course of study engage with advanced knowledge and inquiry</w:t>
      </w:r>
      <w:r>
        <w:t xml:space="preserve"> – standard 3.1.2</w:t>
      </w:r>
    </w:p>
    <w:p w14:paraId="0CCF8BAE" w14:textId="77777777" w:rsidR="00724D00" w:rsidRDefault="00724D00" w:rsidP="00724D00">
      <w:pPr>
        <w:pStyle w:val="Heading6"/>
        <w:keepNext w:val="0"/>
        <w:keepLines w:val="0"/>
        <w:numPr>
          <w:ilvl w:val="0"/>
          <w:numId w:val="21"/>
        </w:numPr>
        <w:jc w:val="both"/>
      </w:pPr>
      <w:r w:rsidRPr="00724D00">
        <w:t>teaching staff maintain knowledge of their field of teaching through continuing scholarship; teaching and assessment principles are contemporary and relevant to the discipline</w:t>
      </w:r>
      <w:r>
        <w:t xml:space="preserve"> – standard 3.2.3</w:t>
      </w:r>
    </w:p>
    <w:p w14:paraId="5C2A3A17" w14:textId="41EF1A44" w:rsidR="00724D00" w:rsidRPr="00724D00" w:rsidRDefault="00724D00" w:rsidP="00724D00">
      <w:pPr>
        <w:pStyle w:val="Heading6"/>
        <w:keepNext w:val="0"/>
        <w:keepLines w:val="0"/>
        <w:numPr>
          <w:ilvl w:val="0"/>
          <w:numId w:val="21"/>
        </w:numPr>
        <w:jc w:val="both"/>
      </w:pPr>
      <w:r w:rsidRPr="00724D00">
        <w:t>scholarship characterises the environment of research training</w:t>
      </w:r>
      <w:r>
        <w:t xml:space="preserve"> – standard 4.2.2</w:t>
      </w:r>
    </w:p>
    <w:p w14:paraId="6E955A49" w14:textId="6B3495CD" w:rsidR="00724D00" w:rsidRDefault="001942AF" w:rsidP="00E611DD">
      <w:pPr>
        <w:pStyle w:val="Heading6"/>
        <w:keepNext w:val="0"/>
        <w:keepLines w:val="0"/>
        <w:numPr>
          <w:ilvl w:val="0"/>
          <w:numId w:val="20"/>
        </w:numPr>
        <w:jc w:val="both"/>
      </w:pPr>
      <w:r>
        <w:t xml:space="preserve">External </w:t>
      </w:r>
      <w:r w:rsidR="00E611DD">
        <w:t xml:space="preserve">Professional </w:t>
      </w:r>
      <w:r w:rsidR="00F44DA8">
        <w:t>A</w:t>
      </w:r>
      <w:r w:rsidR="00E611DD">
        <w:t xml:space="preserve">ccreditation Standards monitoring </w:t>
      </w:r>
      <w:r>
        <w:t>–</w:t>
      </w:r>
      <w:r w:rsidR="00E611DD">
        <w:t xml:space="preserve"> </w:t>
      </w:r>
      <w:r>
        <w:t>The Academic Quality and Standards committee has a process to ensure that the University’s professional courses continue to meet relevant accreditation standards across the accreditation period.</w:t>
      </w:r>
    </w:p>
    <w:p w14:paraId="5B63CFDC" w14:textId="71E325F1" w:rsidR="001942AF" w:rsidRDefault="001942AF" w:rsidP="002721F4">
      <w:pPr>
        <w:pStyle w:val="Heading6"/>
        <w:keepNext w:val="0"/>
        <w:keepLines w:val="0"/>
        <w:numPr>
          <w:ilvl w:val="0"/>
          <w:numId w:val="20"/>
        </w:numPr>
        <w:jc w:val="both"/>
      </w:pPr>
      <w:r>
        <w:t xml:space="preserve">Student experience monitoring – The University Policy on Student experience or Learning and Teaching </w:t>
      </w:r>
      <w:r w:rsidR="002721F4">
        <w:t xml:space="preserve">is the instrument that is used as a basis for establishing surveys for collecting student feedback about student learning and teaching. </w:t>
      </w:r>
    </w:p>
    <w:p w14:paraId="7D8E2427" w14:textId="77777777" w:rsidR="007E5BFF" w:rsidRPr="009C43CE" w:rsidRDefault="007E5BFF" w:rsidP="007E5BFF">
      <w:pPr>
        <w:pStyle w:val="Heading6"/>
        <w:keepNext w:val="0"/>
        <w:keepLines w:val="0"/>
        <w:numPr>
          <w:ilvl w:val="0"/>
          <w:numId w:val="20"/>
        </w:numPr>
        <w:jc w:val="both"/>
      </w:pPr>
      <w:r>
        <w:t xml:space="preserve">Quality and compliance monitoring (assurance activities) – Assuring relevant University’s academic and corporate operations against the regulatory standards and requirements that were established under the TEQSA Act 2011 and ESOS Act 2000 in accordance with an approved Quality and Compliance Management System and Assurance Program. </w:t>
      </w:r>
    </w:p>
    <w:p w14:paraId="144D02B8" w14:textId="77777777" w:rsidR="0057685B" w:rsidRDefault="0057685B" w:rsidP="007C012D">
      <w:pPr>
        <w:jc w:val="both"/>
        <w:rPr>
          <w:b/>
          <w:sz w:val="22"/>
        </w:rPr>
      </w:pPr>
    </w:p>
    <w:p w14:paraId="49065332" w14:textId="2A4A8E34" w:rsidR="00131431" w:rsidRPr="006E02CD" w:rsidRDefault="006E02CD" w:rsidP="006E02CD">
      <w:pPr>
        <w:pStyle w:val="Heading1"/>
        <w:widowControl/>
        <w:rPr>
          <w:lang w:eastAsia="en-AU"/>
        </w:rPr>
      </w:pPr>
      <w:r w:rsidRPr="006E02CD">
        <w:rPr>
          <w:lang w:eastAsia="en-AU"/>
        </w:rPr>
        <w:t>Accountabilities and Responsibilities</w:t>
      </w:r>
    </w:p>
    <w:p w14:paraId="5326130A" w14:textId="6D25CA14" w:rsidR="00A730CC" w:rsidRPr="00EA402B" w:rsidRDefault="00A730CC" w:rsidP="00EA402B">
      <w:pPr>
        <w:pStyle w:val="Heading6"/>
        <w:keepNext w:val="0"/>
        <w:keepLines w:val="0"/>
        <w:numPr>
          <w:ilvl w:val="0"/>
          <w:numId w:val="28"/>
        </w:numPr>
        <w:jc w:val="both"/>
      </w:pPr>
      <w:r w:rsidRPr="00EA402B">
        <w:t xml:space="preserve">the </w:t>
      </w:r>
      <w:r w:rsidR="00CA2A3F" w:rsidRPr="00EA402B">
        <w:t xml:space="preserve">Senate </w:t>
      </w:r>
      <w:r w:rsidRPr="00EA402B">
        <w:t>is accountable to the Australian Government and the </w:t>
      </w:r>
      <w:hyperlink r:id="rId13" w:tgtFrame="_blank" w:history="1">
        <w:r w:rsidRPr="00EA402B">
          <w:t>Tertiary Education Quality and Standards Agency</w:t>
        </w:r>
      </w:hyperlink>
      <w:r w:rsidRPr="00EA402B">
        <w:t> for Quality Assurance and compliance with External Standards by the University;</w:t>
      </w:r>
    </w:p>
    <w:p w14:paraId="76B54F88" w14:textId="08F8F1DE" w:rsidR="00A730CC" w:rsidRDefault="00A730CC" w:rsidP="00EA402B">
      <w:pPr>
        <w:pStyle w:val="Heading6"/>
        <w:keepNext w:val="0"/>
        <w:keepLines w:val="0"/>
        <w:numPr>
          <w:ilvl w:val="0"/>
          <w:numId w:val="28"/>
        </w:numPr>
        <w:jc w:val="both"/>
      </w:pPr>
      <w:r w:rsidRPr="00EA402B">
        <w:t xml:space="preserve">the Vice-Chancellor is responsible and accountable to the </w:t>
      </w:r>
      <w:r w:rsidR="00CA2A3F" w:rsidRPr="00EA402B">
        <w:t>Senate</w:t>
      </w:r>
      <w:r w:rsidRPr="00EA402B">
        <w:t xml:space="preserve"> for University management and Quality Assurance and compliance with External Standards across all of the University’s activities and enterprises;</w:t>
      </w:r>
    </w:p>
    <w:p w14:paraId="24B8F9A3" w14:textId="645E8D3F" w:rsidR="00A730CC" w:rsidRPr="00EA402B" w:rsidRDefault="00A730CC" w:rsidP="00EA402B">
      <w:pPr>
        <w:pStyle w:val="Heading6"/>
        <w:keepNext w:val="0"/>
        <w:keepLines w:val="0"/>
        <w:numPr>
          <w:ilvl w:val="0"/>
          <w:numId w:val="28"/>
        </w:numPr>
        <w:jc w:val="both"/>
      </w:pPr>
      <w:r w:rsidRPr="00EA402B">
        <w:t>the Deputy Vice-Chancellor (</w:t>
      </w:r>
      <w:r w:rsidR="00EA402B" w:rsidRPr="00EA402B">
        <w:t>Education</w:t>
      </w:r>
      <w:r w:rsidRPr="00EA402B">
        <w:t>)</w:t>
      </w:r>
      <w:r w:rsidR="00EA402B">
        <w:t xml:space="preserve">, in collaboration with the </w:t>
      </w:r>
      <w:r w:rsidR="007E5BFF">
        <w:t>AQASU</w:t>
      </w:r>
      <w:r w:rsidR="00EA402B">
        <w:t xml:space="preserve"> within the Office of the Pro Vice-Chancellor (</w:t>
      </w:r>
      <w:r w:rsidR="00CD690D">
        <w:t>Academic</w:t>
      </w:r>
      <w:r w:rsidR="00EA402B">
        <w:t xml:space="preserve">) </w:t>
      </w:r>
      <w:r w:rsidRPr="00EA402B">
        <w:t>is responsible and accountable to the Vice-Chancellor for Quality Assurance, Quality Enhancement, Quality Improvement and compliance with relevant External Standards and Internal Standards in the areas of, academic integrity, student participation, teaching and institutional quality assurance, and student grievances and complaints;</w:t>
      </w:r>
    </w:p>
    <w:p w14:paraId="674DA4F9" w14:textId="1679EBD4" w:rsidR="00A730CC" w:rsidRPr="00EA402B" w:rsidRDefault="00A730CC" w:rsidP="00EA402B">
      <w:pPr>
        <w:pStyle w:val="Heading6"/>
        <w:keepNext w:val="0"/>
        <w:keepLines w:val="0"/>
        <w:numPr>
          <w:ilvl w:val="0"/>
          <w:numId w:val="28"/>
        </w:numPr>
        <w:jc w:val="both"/>
      </w:pPr>
      <w:r w:rsidRPr="00EA402B">
        <w:t>the Deputy Vice-Chancellor (Research) is responsible and accountable to the Vice-Chancellor for Quality Assurance, Quality Enhancement, Quality Improvement and compliance with relevant External Standards and Internal Standards in the areas of research, research training, academic research integrity;</w:t>
      </w:r>
    </w:p>
    <w:p w14:paraId="3184960B" w14:textId="65A6ECFC" w:rsidR="00A730CC" w:rsidRPr="00C408D5" w:rsidRDefault="00A730CC" w:rsidP="00C408D5">
      <w:pPr>
        <w:pStyle w:val="Heading6"/>
        <w:keepNext w:val="0"/>
        <w:keepLines w:val="0"/>
        <w:numPr>
          <w:ilvl w:val="0"/>
          <w:numId w:val="28"/>
        </w:numPr>
        <w:jc w:val="both"/>
      </w:pPr>
      <w:r w:rsidRPr="00C408D5">
        <w:t xml:space="preserve">the </w:t>
      </w:r>
      <w:r w:rsidR="00C408D5" w:rsidRPr="00C408D5">
        <w:t>Head of school</w:t>
      </w:r>
      <w:r w:rsidRPr="00C408D5">
        <w:t xml:space="preserve"> is responsible for Quality Assurance, Quality Enhancement, Quality Improvement and compliance with relevant External Standards and Internal Standards in the areas of staffing / scholarship, learning and teaching, pedagogy, curriculum, and research and research training;</w:t>
      </w:r>
    </w:p>
    <w:p w14:paraId="2BDB8BED" w14:textId="77777777" w:rsidR="00C32197" w:rsidRDefault="00A730CC" w:rsidP="00A26B1E">
      <w:pPr>
        <w:pStyle w:val="Heading6"/>
        <w:keepNext w:val="0"/>
        <w:keepLines w:val="0"/>
        <w:numPr>
          <w:ilvl w:val="0"/>
          <w:numId w:val="28"/>
        </w:numPr>
        <w:jc w:val="both"/>
      </w:pPr>
      <w:r w:rsidRPr="00C408D5">
        <w:t xml:space="preserve">all employees of the University, through their supervisor, are responsible and accountable to their supervisor, for implementing the University’s Quality Assurance Cycle including improvement actions and compliance with External Standards and Internal Standards as they pertain to each employee’s work and area of operation; </w:t>
      </w:r>
    </w:p>
    <w:p w14:paraId="3928CFC2" w14:textId="38CFC20B" w:rsidR="00A730CC" w:rsidRDefault="00A730CC" w:rsidP="00A26B1E">
      <w:pPr>
        <w:pStyle w:val="Heading6"/>
        <w:keepNext w:val="0"/>
        <w:keepLines w:val="0"/>
        <w:numPr>
          <w:ilvl w:val="0"/>
          <w:numId w:val="28"/>
        </w:numPr>
        <w:jc w:val="both"/>
      </w:pPr>
      <w:r w:rsidRPr="00C408D5">
        <w:t>students and other members of the University community are important contributors to the University’s Quality Assurance Cycle</w:t>
      </w:r>
      <w:r w:rsidR="00C32197">
        <w:t>; and</w:t>
      </w:r>
    </w:p>
    <w:p w14:paraId="3CF7F46C" w14:textId="75C37E92" w:rsidR="00C408D5" w:rsidRDefault="00C32197" w:rsidP="00C32197">
      <w:pPr>
        <w:pStyle w:val="Heading6"/>
        <w:keepNext w:val="0"/>
        <w:keepLines w:val="0"/>
        <w:numPr>
          <w:ilvl w:val="0"/>
          <w:numId w:val="28"/>
        </w:numPr>
        <w:jc w:val="both"/>
      </w:pPr>
      <w:r>
        <w:t>t</w:t>
      </w:r>
      <w:r w:rsidR="00C408D5">
        <w:t xml:space="preserve">he Office of the Pro Vice-Chancellor (Academic) through the </w:t>
      </w:r>
      <w:r w:rsidR="007E5BFF">
        <w:t>AQASU</w:t>
      </w:r>
      <w:r w:rsidR="00C408D5">
        <w:t xml:space="preserve"> has the University-wide responsibility for </w:t>
      </w:r>
      <w:r>
        <w:t xml:space="preserve">coordinating </w:t>
      </w:r>
      <w:r w:rsidR="007E5BFF">
        <w:t xml:space="preserve">and conducting </w:t>
      </w:r>
      <w:r>
        <w:t xml:space="preserve">quality assurances processes. The Pro Vice-Chancellor (Academic) is Chair to the Academic Quality and Standards Committee which is </w:t>
      </w:r>
      <w:r w:rsidR="00C408D5">
        <w:t>responsible for</w:t>
      </w:r>
      <w:r>
        <w:t xml:space="preserve"> the University’s Quality Assurance and Continuous improvement. </w:t>
      </w:r>
      <w:r w:rsidR="00C408D5">
        <w:t xml:space="preserve"> </w:t>
      </w:r>
    </w:p>
    <w:p w14:paraId="772FCF34" w14:textId="045C318D" w:rsidR="007E5BFF" w:rsidRPr="00F762FA" w:rsidRDefault="007E5BFF" w:rsidP="007E5BFF">
      <w:pPr>
        <w:pStyle w:val="Heading6"/>
        <w:keepNext w:val="0"/>
        <w:keepLines w:val="0"/>
        <w:numPr>
          <w:ilvl w:val="0"/>
          <w:numId w:val="28"/>
        </w:numPr>
        <w:jc w:val="both"/>
      </w:pPr>
      <w:r>
        <w:t xml:space="preserve">the AQASU is responsible for establishing and implementing an approved Quality and Compliance Management System and Assurance Program in consultation with University governance committees, management, </w:t>
      </w:r>
      <w:r w:rsidR="00FA55DE">
        <w:t xml:space="preserve">University </w:t>
      </w:r>
      <w:r>
        <w:t>Executive and other key personnel as appropriate.</w:t>
      </w:r>
    </w:p>
    <w:p w14:paraId="188D1764" w14:textId="77777777" w:rsidR="001D0738" w:rsidRPr="001D0738" w:rsidRDefault="001D0738" w:rsidP="001D0738">
      <w:pPr>
        <w:pStyle w:val="Heading1"/>
        <w:widowControl/>
        <w:rPr>
          <w:lang w:eastAsia="en-AU"/>
        </w:rPr>
      </w:pPr>
      <w:r w:rsidRPr="001D0738">
        <w:rPr>
          <w:lang w:eastAsia="en-AU"/>
        </w:rPr>
        <w:lastRenderedPageBreak/>
        <w:t xml:space="preserve">Framework ownership and support </w:t>
      </w:r>
    </w:p>
    <w:p w14:paraId="77C7207E" w14:textId="1723C53A" w:rsidR="001D0738" w:rsidRPr="001D0738" w:rsidRDefault="001D0738" w:rsidP="001D0738">
      <w:pPr>
        <w:pStyle w:val="Heading6"/>
        <w:keepNext w:val="0"/>
        <w:keepLines w:val="0"/>
        <w:numPr>
          <w:ilvl w:val="0"/>
          <w:numId w:val="38"/>
        </w:numPr>
        <w:jc w:val="both"/>
      </w:pPr>
      <w:r w:rsidRPr="001D0738">
        <w:t xml:space="preserve">Academic Board is responsible for and approves this framework. </w:t>
      </w:r>
    </w:p>
    <w:p w14:paraId="2D367D12" w14:textId="35A05439" w:rsidR="001D0738" w:rsidRPr="001D0738" w:rsidRDefault="001D0738" w:rsidP="001D0738">
      <w:pPr>
        <w:pStyle w:val="Heading6"/>
        <w:keepNext w:val="0"/>
        <w:keepLines w:val="0"/>
        <w:numPr>
          <w:ilvl w:val="0"/>
          <w:numId w:val="38"/>
        </w:numPr>
        <w:jc w:val="both"/>
      </w:pPr>
      <w:r w:rsidRPr="001D0738">
        <w:t>The</w:t>
      </w:r>
      <w:r w:rsidR="00066DE0">
        <w:t xml:space="preserve"> Academic Quality and Standards Committee </w:t>
      </w:r>
      <w:r w:rsidRPr="001D0738">
        <w:t>is responsible for enforcement of, and compliance with, this framework, ensuring that its principles and statements are observed.</w:t>
      </w:r>
    </w:p>
    <w:p w14:paraId="6E939A41" w14:textId="0375B281" w:rsidR="006E02CD" w:rsidRDefault="006E02CD" w:rsidP="007C012D">
      <w:pPr>
        <w:jc w:val="both"/>
        <w:rPr>
          <w:b/>
          <w:sz w:val="22"/>
        </w:rPr>
      </w:pPr>
    </w:p>
    <w:p w14:paraId="554DC239" w14:textId="30696677" w:rsidR="001D0738" w:rsidRDefault="001D0738" w:rsidP="007C012D">
      <w:pPr>
        <w:jc w:val="both"/>
        <w:rPr>
          <w:b/>
          <w:sz w:val="22"/>
        </w:rPr>
      </w:pPr>
    </w:p>
    <w:p w14:paraId="714A0EF6" w14:textId="77777777" w:rsidR="005D39B2" w:rsidRDefault="005D39B2" w:rsidP="005D39B2">
      <w:pPr>
        <w:pStyle w:val="Heading1"/>
        <w:rPr>
          <w:lang w:eastAsia="en-AU"/>
        </w:rPr>
      </w:pPr>
      <w:r w:rsidRPr="008552C5">
        <w:rPr>
          <w:lang w:eastAsia="en-AU"/>
        </w:rPr>
        <w:t>Definitions</w:t>
      </w:r>
      <w:r>
        <w:rPr>
          <w:lang w:eastAsia="en-AU"/>
        </w:rPr>
        <w:t xml:space="preserve"> – </w:t>
      </w:r>
    </w:p>
    <w:p w14:paraId="412CD8F8" w14:textId="77777777" w:rsidR="005D39B2" w:rsidRDefault="005D39B2" w:rsidP="005D39B2">
      <w:pPr>
        <w:ind w:left="578"/>
        <w:rPr>
          <w:rFonts w:cs="Arial"/>
          <w:lang w:eastAsia="en-AU"/>
        </w:rPr>
      </w:pPr>
      <w:r w:rsidRPr="45B53E50">
        <w:rPr>
          <w:rFonts w:eastAsiaTheme="majorEastAsia" w:cs="Arial"/>
          <w:lang w:eastAsia="en-AU"/>
        </w:rPr>
        <w:t>Commonly defined terms are in the UWA Policy Library Glossary</w:t>
      </w:r>
      <w:r w:rsidRPr="45B53E50">
        <w:rPr>
          <w:rFonts w:cs="Arial"/>
          <w:lang w:eastAsia="en-AU"/>
        </w:rPr>
        <w:t xml:space="preserve">. </w:t>
      </w:r>
    </w:p>
    <w:p w14:paraId="708C879E" w14:textId="77777777" w:rsidR="005D39B2" w:rsidRDefault="005D39B2" w:rsidP="005D39B2">
      <w:pPr>
        <w:ind w:left="578"/>
        <w:rPr>
          <w:rFonts w:cs="Arial"/>
          <w:szCs w:val="20"/>
          <w:lang w:eastAsia="en-AU"/>
        </w:rPr>
      </w:pPr>
    </w:p>
    <w:p w14:paraId="5A3BBD52" w14:textId="77777777" w:rsidR="005D39B2" w:rsidRPr="004D45CE" w:rsidRDefault="005D39B2" w:rsidP="005D39B2">
      <w:pPr>
        <w:ind w:left="567" w:right="-472"/>
        <w:jc w:val="both"/>
        <w:rPr>
          <w:sz w:val="19"/>
          <w:szCs w:val="19"/>
        </w:rPr>
      </w:pPr>
      <w:r w:rsidRPr="004D45CE">
        <w:rPr>
          <w:sz w:val="19"/>
          <w:szCs w:val="19"/>
        </w:rPr>
        <w:t xml:space="preserve">In this policy and any associated procedures, </w:t>
      </w:r>
    </w:p>
    <w:p w14:paraId="40DAD59F" w14:textId="137622EB" w:rsidR="005D39B2" w:rsidRDefault="005D39B2" w:rsidP="005D39B2">
      <w:pPr>
        <w:pStyle w:val="Default"/>
        <w:ind w:left="567"/>
        <w:jc w:val="both"/>
        <w:rPr>
          <w:sz w:val="18"/>
          <w:szCs w:val="18"/>
        </w:rPr>
      </w:pPr>
      <w:r>
        <w:rPr>
          <w:b/>
          <w:sz w:val="18"/>
          <w:szCs w:val="18"/>
        </w:rPr>
        <w:t>t</w:t>
      </w:r>
      <w:r w:rsidRPr="004E6782">
        <w:rPr>
          <w:b/>
          <w:sz w:val="18"/>
          <w:szCs w:val="18"/>
        </w:rPr>
        <w:t>he University</w:t>
      </w:r>
      <w:r w:rsidRPr="004E6782">
        <w:rPr>
          <w:sz w:val="18"/>
          <w:szCs w:val="18"/>
        </w:rPr>
        <w:t xml:space="preserve"> </w:t>
      </w:r>
      <w:r>
        <w:rPr>
          <w:sz w:val="18"/>
          <w:szCs w:val="18"/>
        </w:rPr>
        <w:t>means T</w:t>
      </w:r>
      <w:r w:rsidRPr="004E6782">
        <w:rPr>
          <w:sz w:val="18"/>
          <w:szCs w:val="18"/>
        </w:rPr>
        <w:t>he University of Western Australia</w:t>
      </w:r>
    </w:p>
    <w:p w14:paraId="012C076B" w14:textId="55447726" w:rsidR="00FA55DE" w:rsidRPr="00FA55DE" w:rsidRDefault="00FA55DE" w:rsidP="005D39B2">
      <w:pPr>
        <w:pStyle w:val="Default"/>
        <w:ind w:left="567"/>
        <w:jc w:val="both"/>
        <w:rPr>
          <w:bCs/>
          <w:sz w:val="18"/>
          <w:szCs w:val="18"/>
        </w:rPr>
      </w:pPr>
      <w:r>
        <w:rPr>
          <w:b/>
          <w:sz w:val="18"/>
          <w:szCs w:val="18"/>
        </w:rPr>
        <w:t xml:space="preserve">AQASU </w:t>
      </w:r>
      <w:r w:rsidRPr="00FA55DE">
        <w:rPr>
          <w:bCs/>
          <w:sz w:val="18"/>
          <w:szCs w:val="18"/>
        </w:rPr>
        <w:t xml:space="preserve">is the Academic Quality Assurance and Standards Unit that headed by the Pro Vice-Chancellor (Academic) within the Office of the deputy Vice-Chancellor (Education) </w:t>
      </w:r>
    </w:p>
    <w:p w14:paraId="26026DA5" w14:textId="5D32CE95" w:rsidR="009551AB" w:rsidRDefault="009551AB" w:rsidP="005D39B2">
      <w:pPr>
        <w:pStyle w:val="Default"/>
        <w:ind w:left="567"/>
        <w:jc w:val="both"/>
        <w:rPr>
          <w:bCs/>
          <w:sz w:val="18"/>
          <w:szCs w:val="18"/>
        </w:rPr>
      </w:pPr>
      <w:r>
        <w:rPr>
          <w:b/>
          <w:sz w:val="18"/>
          <w:szCs w:val="18"/>
        </w:rPr>
        <w:t xml:space="preserve">benchmarking </w:t>
      </w:r>
      <w:r w:rsidRPr="009551AB">
        <w:rPr>
          <w:bCs/>
          <w:sz w:val="18"/>
          <w:szCs w:val="18"/>
        </w:rPr>
        <w:t>is the process of measuring and monitoring outcomes against predetermined standards</w:t>
      </w:r>
    </w:p>
    <w:p w14:paraId="4F7871EE" w14:textId="11FE2088" w:rsidR="00FA55DE" w:rsidRPr="00FA55DE" w:rsidRDefault="00FA55DE" w:rsidP="005D39B2">
      <w:pPr>
        <w:pStyle w:val="Default"/>
        <w:ind w:left="567"/>
        <w:jc w:val="both"/>
        <w:rPr>
          <w:bCs/>
          <w:sz w:val="18"/>
          <w:szCs w:val="18"/>
        </w:rPr>
      </w:pPr>
      <w:r>
        <w:rPr>
          <w:b/>
          <w:sz w:val="18"/>
          <w:szCs w:val="18"/>
        </w:rPr>
        <w:t xml:space="preserve">continuous improvement </w:t>
      </w:r>
      <w:r w:rsidRPr="00FA55DE">
        <w:rPr>
          <w:bCs/>
          <w:sz w:val="18"/>
          <w:szCs w:val="18"/>
        </w:rPr>
        <w:t>means the ongoing process of change for the purpose of improvement to practices and processes</w:t>
      </w:r>
    </w:p>
    <w:p w14:paraId="67AE2C93" w14:textId="62B5ADBD" w:rsidR="00FA55DE" w:rsidRPr="00FA55DE" w:rsidRDefault="00FA55DE" w:rsidP="005D39B2">
      <w:pPr>
        <w:pStyle w:val="Default"/>
        <w:ind w:left="567"/>
        <w:jc w:val="both"/>
        <w:rPr>
          <w:bCs/>
          <w:sz w:val="18"/>
          <w:szCs w:val="18"/>
        </w:rPr>
      </w:pPr>
      <w:r>
        <w:rPr>
          <w:b/>
          <w:sz w:val="18"/>
          <w:szCs w:val="18"/>
        </w:rPr>
        <w:t xml:space="preserve">framework </w:t>
      </w:r>
      <w:r w:rsidRPr="00FA55DE">
        <w:rPr>
          <w:bCs/>
          <w:sz w:val="18"/>
          <w:szCs w:val="18"/>
        </w:rPr>
        <w:t xml:space="preserve">refers to the </w:t>
      </w:r>
      <w:r>
        <w:rPr>
          <w:bCs/>
          <w:sz w:val="18"/>
          <w:szCs w:val="18"/>
        </w:rPr>
        <w:t>system which sets out the instruments to carry out quality control, quality assurance and continuous improvement</w:t>
      </w:r>
    </w:p>
    <w:p w14:paraId="362659C1" w14:textId="1A5D8CB8" w:rsidR="00181021" w:rsidRDefault="00181021" w:rsidP="005D39B2">
      <w:pPr>
        <w:pStyle w:val="Default"/>
        <w:ind w:left="567"/>
        <w:jc w:val="both"/>
        <w:rPr>
          <w:bCs/>
          <w:sz w:val="18"/>
          <w:szCs w:val="18"/>
        </w:rPr>
      </w:pPr>
      <w:r>
        <w:rPr>
          <w:b/>
          <w:sz w:val="18"/>
          <w:szCs w:val="18"/>
        </w:rPr>
        <w:t xml:space="preserve">quality assurance </w:t>
      </w:r>
      <w:r w:rsidR="009551AB" w:rsidRPr="009551AB">
        <w:rPr>
          <w:bCs/>
          <w:sz w:val="18"/>
          <w:szCs w:val="18"/>
        </w:rPr>
        <w:t xml:space="preserve">means the program of activities to ensure that standards are </w:t>
      </w:r>
      <w:r w:rsidR="00CD690D" w:rsidRPr="009551AB">
        <w:rPr>
          <w:bCs/>
          <w:sz w:val="18"/>
          <w:szCs w:val="18"/>
        </w:rPr>
        <w:t>maintained,</w:t>
      </w:r>
      <w:r w:rsidR="009551AB" w:rsidRPr="009551AB">
        <w:rPr>
          <w:bCs/>
          <w:sz w:val="18"/>
          <w:szCs w:val="18"/>
        </w:rPr>
        <w:t xml:space="preserve"> and outputs are of the desired quality</w:t>
      </w:r>
    </w:p>
    <w:p w14:paraId="57F8B6AA" w14:textId="066F5CF8" w:rsidR="009551AB" w:rsidRDefault="009551AB" w:rsidP="009551AB">
      <w:pPr>
        <w:pStyle w:val="Default"/>
        <w:ind w:left="567"/>
        <w:jc w:val="both"/>
        <w:rPr>
          <w:bCs/>
          <w:sz w:val="18"/>
          <w:szCs w:val="18"/>
        </w:rPr>
      </w:pPr>
      <w:r>
        <w:rPr>
          <w:b/>
          <w:sz w:val="18"/>
          <w:szCs w:val="18"/>
        </w:rPr>
        <w:t xml:space="preserve">quality cycle </w:t>
      </w:r>
      <w:r w:rsidRPr="009551AB">
        <w:rPr>
          <w:bCs/>
          <w:sz w:val="18"/>
          <w:szCs w:val="18"/>
        </w:rPr>
        <w:t>refers to the cyclic process of planning, quality improvement, quality control, quality and data reporting and quality improvement, including but not limited to benchmarking, audits, reviews and program or course review</w:t>
      </w:r>
    </w:p>
    <w:p w14:paraId="794E5242" w14:textId="2E48EECB" w:rsidR="009551AB" w:rsidRDefault="009551AB" w:rsidP="009551AB">
      <w:pPr>
        <w:pStyle w:val="Default"/>
        <w:ind w:left="567"/>
        <w:jc w:val="both"/>
        <w:rPr>
          <w:bCs/>
          <w:sz w:val="18"/>
          <w:szCs w:val="18"/>
        </w:rPr>
      </w:pPr>
      <w:r>
        <w:rPr>
          <w:b/>
          <w:sz w:val="18"/>
          <w:szCs w:val="18"/>
        </w:rPr>
        <w:t xml:space="preserve">standing committee </w:t>
      </w:r>
      <w:r w:rsidRPr="009551AB">
        <w:rPr>
          <w:bCs/>
          <w:sz w:val="18"/>
          <w:szCs w:val="18"/>
        </w:rPr>
        <w:t xml:space="preserve">refers to </w:t>
      </w:r>
      <w:r w:rsidR="00CD690D" w:rsidRPr="009551AB">
        <w:rPr>
          <w:bCs/>
          <w:sz w:val="18"/>
          <w:szCs w:val="18"/>
        </w:rPr>
        <w:t>permanent</w:t>
      </w:r>
      <w:r w:rsidRPr="009551AB">
        <w:rPr>
          <w:bCs/>
          <w:sz w:val="18"/>
          <w:szCs w:val="18"/>
        </w:rPr>
        <w:t xml:space="preserve"> committees established </w:t>
      </w:r>
      <w:r>
        <w:rPr>
          <w:bCs/>
          <w:sz w:val="18"/>
          <w:szCs w:val="18"/>
        </w:rPr>
        <w:t xml:space="preserve">by a parent committee </w:t>
      </w:r>
      <w:r w:rsidRPr="009551AB">
        <w:rPr>
          <w:bCs/>
          <w:sz w:val="18"/>
          <w:szCs w:val="18"/>
        </w:rPr>
        <w:t xml:space="preserve">under the University’s governance </w:t>
      </w:r>
      <w:r w:rsidR="00CD690D" w:rsidRPr="009551AB">
        <w:rPr>
          <w:bCs/>
          <w:sz w:val="18"/>
          <w:szCs w:val="18"/>
        </w:rPr>
        <w:t>framework</w:t>
      </w:r>
    </w:p>
    <w:p w14:paraId="2BB70ABD" w14:textId="5FE5B2A1" w:rsidR="009551AB" w:rsidRDefault="009551AB" w:rsidP="009551AB">
      <w:pPr>
        <w:pStyle w:val="Default"/>
        <w:ind w:left="567"/>
        <w:jc w:val="both"/>
        <w:rPr>
          <w:bCs/>
          <w:sz w:val="18"/>
          <w:szCs w:val="18"/>
        </w:rPr>
      </w:pPr>
      <w:r>
        <w:rPr>
          <w:b/>
          <w:sz w:val="18"/>
          <w:szCs w:val="18"/>
        </w:rPr>
        <w:t>sub-committee</w:t>
      </w:r>
      <w:r w:rsidRPr="009551AB">
        <w:rPr>
          <w:bCs/>
          <w:sz w:val="18"/>
          <w:szCs w:val="18"/>
        </w:rPr>
        <w:t xml:space="preserve"> refers to </w:t>
      </w:r>
      <w:r>
        <w:rPr>
          <w:bCs/>
          <w:sz w:val="18"/>
          <w:szCs w:val="18"/>
        </w:rPr>
        <w:t>any committee established by a standing committee</w:t>
      </w:r>
    </w:p>
    <w:p w14:paraId="0A02C47A" w14:textId="79220073" w:rsidR="00FA55DE" w:rsidRPr="00FA55DE" w:rsidRDefault="00FA55DE" w:rsidP="009551AB">
      <w:pPr>
        <w:pStyle w:val="Default"/>
        <w:ind w:left="567"/>
        <w:jc w:val="both"/>
        <w:rPr>
          <w:bCs/>
          <w:sz w:val="18"/>
          <w:szCs w:val="18"/>
        </w:rPr>
      </w:pPr>
      <w:r>
        <w:rPr>
          <w:b/>
          <w:sz w:val="18"/>
          <w:szCs w:val="18"/>
        </w:rPr>
        <w:t xml:space="preserve">University Executive </w:t>
      </w:r>
      <w:r w:rsidRPr="00FA55DE">
        <w:rPr>
          <w:bCs/>
          <w:sz w:val="18"/>
          <w:szCs w:val="18"/>
        </w:rPr>
        <w:t>refers to principal officers of the University namely, the Vice-Chancellor, the Senior Deputy Vice-Chancellor, Deputy Vice-Chancellor (Education), Deputy Vice-Chancellor (Research) and the Chief Financial Officer</w:t>
      </w:r>
    </w:p>
    <w:p w14:paraId="568CB74D" w14:textId="6F60D72B" w:rsidR="009708A1" w:rsidRDefault="009708A1" w:rsidP="007C012D">
      <w:pPr>
        <w:jc w:val="both"/>
        <w:rPr>
          <w:b/>
          <w:sz w:val="22"/>
        </w:rPr>
      </w:pPr>
    </w:p>
    <w:p w14:paraId="712B706C" w14:textId="2A84DD57" w:rsidR="009708A1" w:rsidRDefault="009708A1" w:rsidP="007C012D">
      <w:pPr>
        <w:jc w:val="both"/>
        <w:rPr>
          <w:b/>
          <w:sz w:val="22"/>
        </w:rPr>
      </w:pPr>
    </w:p>
    <w:p w14:paraId="462C210E" w14:textId="25FCF6BF" w:rsidR="009708A1" w:rsidRDefault="009708A1" w:rsidP="007C012D">
      <w:pPr>
        <w:jc w:val="both"/>
        <w:rPr>
          <w:b/>
          <w:sz w:val="22"/>
        </w:rPr>
      </w:pPr>
    </w:p>
    <w:p w14:paraId="7492BCFF" w14:textId="77777777" w:rsidR="009708A1" w:rsidRDefault="009708A1" w:rsidP="007C012D">
      <w:pPr>
        <w:jc w:val="both"/>
        <w:rPr>
          <w:b/>
          <w:sz w:val="22"/>
        </w:rPr>
      </w:pPr>
    </w:p>
    <w:p w14:paraId="3114445B" w14:textId="718F1C97" w:rsidR="001D0738" w:rsidRDefault="001D0738" w:rsidP="007C012D">
      <w:pPr>
        <w:jc w:val="both"/>
        <w:rPr>
          <w:bCs/>
          <w:sz w:val="18"/>
          <w:szCs w:val="18"/>
        </w:rPr>
      </w:pPr>
    </w:p>
    <w:p w14:paraId="1A48BC47" w14:textId="77777777" w:rsidR="001D0738" w:rsidRDefault="001D0738" w:rsidP="007C012D">
      <w:pPr>
        <w:jc w:val="both"/>
        <w:rPr>
          <w:bCs/>
          <w:sz w:val="18"/>
          <w:szCs w:val="18"/>
        </w:rPr>
      </w:pPr>
    </w:p>
    <w:p w14:paraId="1E1EA163" w14:textId="3DAF3F2A" w:rsidR="00943517" w:rsidRPr="00E415CD" w:rsidRDefault="00943517" w:rsidP="00943517">
      <w:pPr>
        <w:jc w:val="center"/>
        <w:rPr>
          <w:rFonts w:cs="Arial"/>
          <w:szCs w:val="20"/>
        </w:rPr>
      </w:pPr>
      <w:r>
        <w:rPr>
          <w:rFonts w:cs="Arial"/>
          <w:szCs w:val="20"/>
        </w:rPr>
        <w:t>****************************</w:t>
      </w:r>
    </w:p>
    <w:sectPr w:rsidR="00943517" w:rsidRPr="00E415CD" w:rsidSect="00B01F85">
      <w:footerReference w:type="default" r:id="rId1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E6EA" w14:textId="77777777" w:rsidR="00F51D08" w:rsidRDefault="00F51D08" w:rsidP="0040732E">
      <w:r>
        <w:separator/>
      </w:r>
    </w:p>
  </w:endnote>
  <w:endnote w:type="continuationSeparator" w:id="0">
    <w:p w14:paraId="6312CA3C" w14:textId="77777777" w:rsidR="00F51D08" w:rsidRDefault="00F51D08" w:rsidP="0040732E">
      <w:r>
        <w:continuationSeparator/>
      </w:r>
    </w:p>
  </w:endnote>
  <w:endnote w:type="continuationNotice" w:id="1">
    <w:p w14:paraId="116D7688" w14:textId="77777777" w:rsidR="00F51D08" w:rsidRDefault="00F5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0123"/>
      <w:docPartObj>
        <w:docPartGallery w:val="Page Numbers (Bottom of Page)"/>
        <w:docPartUnique/>
      </w:docPartObj>
    </w:sdtPr>
    <w:sdtEndPr>
      <w:rPr>
        <w:noProof/>
      </w:rPr>
    </w:sdtEndPr>
    <w:sdtContent>
      <w:p w14:paraId="1CC2B1A0" w14:textId="153C121A" w:rsidR="0062112E" w:rsidRDefault="0062112E">
        <w:pPr>
          <w:pStyle w:val="Footer"/>
          <w:jc w:val="right"/>
        </w:pPr>
        <w:r>
          <w:fldChar w:fldCharType="begin"/>
        </w:r>
        <w:r>
          <w:instrText xml:space="preserve"> PAGE   \* MERGEFORMAT </w:instrText>
        </w:r>
        <w:r>
          <w:fldChar w:fldCharType="separate"/>
        </w:r>
        <w:r w:rsidR="00AB6029">
          <w:rPr>
            <w:noProof/>
          </w:rPr>
          <w:t>3</w:t>
        </w:r>
        <w:r>
          <w:rPr>
            <w:noProof/>
          </w:rPr>
          <w:fldChar w:fldCharType="end"/>
        </w:r>
      </w:p>
    </w:sdtContent>
  </w:sdt>
  <w:p w14:paraId="5405A571" w14:textId="77777777" w:rsidR="0062112E" w:rsidRDefault="0062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DC54" w14:textId="77777777" w:rsidR="00F51D08" w:rsidRDefault="00F51D08" w:rsidP="0040732E">
      <w:r>
        <w:separator/>
      </w:r>
    </w:p>
  </w:footnote>
  <w:footnote w:type="continuationSeparator" w:id="0">
    <w:p w14:paraId="795B76DC" w14:textId="77777777" w:rsidR="00F51D08" w:rsidRDefault="00F51D08" w:rsidP="0040732E">
      <w:r>
        <w:continuationSeparator/>
      </w:r>
    </w:p>
  </w:footnote>
  <w:footnote w:type="continuationNotice" w:id="1">
    <w:p w14:paraId="25F7A98F" w14:textId="77777777" w:rsidR="00F51D08" w:rsidRDefault="00F51D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85D"/>
    <w:multiLevelType w:val="hybridMultilevel"/>
    <w:tmpl w:val="ECEE1C2E"/>
    <w:lvl w:ilvl="0" w:tplc="214CAFB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2" w15:restartNumberingAfterBreak="0">
    <w:nsid w:val="103E3F58"/>
    <w:multiLevelType w:val="multi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AD2842"/>
    <w:multiLevelType w:val="hybridMultilevel"/>
    <w:tmpl w:val="64F220F6"/>
    <w:lvl w:ilvl="0" w:tplc="75FEFEE2">
      <w:start w:val="1"/>
      <w:numFmt w:val="decimal"/>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4" w15:restartNumberingAfterBreak="0">
    <w:nsid w:val="23330661"/>
    <w:multiLevelType w:val="multilevel"/>
    <w:tmpl w:val="B73062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F56AA9"/>
    <w:multiLevelType w:val="hybridMultilevel"/>
    <w:tmpl w:val="3F4A5FC2"/>
    <w:lvl w:ilvl="0" w:tplc="B2366DC2">
      <w:start w:val="1"/>
      <w:numFmt w:val="lowerLetter"/>
      <w:lvlText w:val="(%1)"/>
      <w:lvlJc w:val="left"/>
      <w:pPr>
        <w:ind w:left="1296" w:hanging="360"/>
      </w:pPr>
      <w:rPr>
        <w:rFonts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6" w15:restartNumberingAfterBreak="0">
    <w:nsid w:val="28685245"/>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7"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 w15:restartNumberingAfterBreak="0">
    <w:nsid w:val="33BD1FC4"/>
    <w:multiLevelType w:val="hybridMultilevel"/>
    <w:tmpl w:val="BDB43CAC"/>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9" w15:restartNumberingAfterBreak="0">
    <w:nsid w:val="3AA75402"/>
    <w:multiLevelType w:val="hybridMultilevel"/>
    <w:tmpl w:val="13E0CF5A"/>
    <w:lvl w:ilvl="0" w:tplc="B2366DC2">
      <w:start w:val="1"/>
      <w:numFmt w:val="lowerLetter"/>
      <w:lvlText w:val="(%1)"/>
      <w:lvlJc w:val="left"/>
      <w:pPr>
        <w:ind w:left="938" w:hanging="360"/>
      </w:pPr>
      <w:rPr>
        <w:rFonts w:hint="default"/>
      </w:rPr>
    </w:lvl>
    <w:lvl w:ilvl="1" w:tplc="0C090003">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0" w15:restartNumberingAfterBreak="0">
    <w:nsid w:val="3EA465A6"/>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1" w15:restartNumberingAfterBreak="0">
    <w:nsid w:val="437D4512"/>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2" w15:restartNumberingAfterBreak="0">
    <w:nsid w:val="475F4DFA"/>
    <w:multiLevelType w:val="hybridMultilevel"/>
    <w:tmpl w:val="59FED42E"/>
    <w:lvl w:ilvl="0" w:tplc="B2366DC2">
      <w:start w:val="1"/>
      <w:numFmt w:val="lowerLetter"/>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3" w15:restartNumberingAfterBreak="0">
    <w:nsid w:val="4A5A1424"/>
    <w:multiLevelType w:val="hybridMultilevel"/>
    <w:tmpl w:val="B47214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430185"/>
    <w:multiLevelType w:val="hybridMultilevel"/>
    <w:tmpl w:val="64F220F6"/>
    <w:lvl w:ilvl="0" w:tplc="75FEFEE2">
      <w:start w:val="1"/>
      <w:numFmt w:val="decimal"/>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5" w15:restartNumberingAfterBreak="0">
    <w:nsid w:val="53A80B2A"/>
    <w:multiLevelType w:val="hybridMultilevel"/>
    <w:tmpl w:val="168403BC"/>
    <w:lvl w:ilvl="0" w:tplc="B2366DC2">
      <w:start w:val="1"/>
      <w:numFmt w:val="lowerLetter"/>
      <w:lvlText w:val="(%1)"/>
      <w:lvlJc w:val="left"/>
      <w:pPr>
        <w:ind w:left="1296" w:hanging="360"/>
      </w:pPr>
      <w:rPr>
        <w:rFonts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6"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AD443DF"/>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8" w15:restartNumberingAfterBreak="0">
    <w:nsid w:val="61BD5775"/>
    <w:multiLevelType w:val="hybridMultilevel"/>
    <w:tmpl w:val="E0F0E0F6"/>
    <w:lvl w:ilvl="0" w:tplc="75FEFEE2">
      <w:start w:val="1"/>
      <w:numFmt w:val="decimal"/>
      <w:lvlText w:val="(%1)"/>
      <w:lvlJc w:val="left"/>
      <w:pPr>
        <w:ind w:left="936" w:hanging="360"/>
      </w:pPr>
      <w:rPr>
        <w:rFonts w:hint="default"/>
      </w:rPr>
    </w:lvl>
    <w:lvl w:ilvl="1" w:tplc="B2366DC2">
      <w:start w:val="1"/>
      <w:numFmt w:val="lowerLetter"/>
      <w:lvlText w:val="(%2)"/>
      <w:lvlJc w:val="left"/>
      <w:pPr>
        <w:ind w:left="1656" w:hanging="360"/>
      </w:pPr>
      <w:rPr>
        <w:rFonts w:hint="default"/>
      </w:r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9" w15:restartNumberingAfterBreak="0">
    <w:nsid w:val="627A3FDC"/>
    <w:multiLevelType w:val="multilevel"/>
    <w:tmpl w:val="DAFC7046"/>
    <w:lvl w:ilvl="0">
      <w:start w:val="1"/>
      <w:numFmt w:val="decimal"/>
      <w:pStyle w:val="Heading1"/>
      <w:lvlText w:val="%1"/>
      <w:lvlJc w:val="left"/>
      <w:pPr>
        <w:ind w:left="578" w:hanging="57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31F6BB2"/>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1" w15:restartNumberingAfterBreak="0">
    <w:nsid w:val="64196615"/>
    <w:multiLevelType w:val="hybridMultilevel"/>
    <w:tmpl w:val="B14432F0"/>
    <w:lvl w:ilvl="0" w:tplc="9536DD1C">
      <w:start w:val="1"/>
      <w:numFmt w:val="lowerLetter"/>
      <w:pStyle w:val="Heading6"/>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2" w15:restartNumberingAfterBreak="0">
    <w:nsid w:val="69D319FE"/>
    <w:multiLevelType w:val="hybridMultilevel"/>
    <w:tmpl w:val="B9160B48"/>
    <w:lvl w:ilvl="0" w:tplc="75FEFEE2">
      <w:start w:val="1"/>
      <w:numFmt w:val="decimal"/>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3"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4" w15:restartNumberingAfterBreak="0">
    <w:nsid w:val="79CE2EFD"/>
    <w:multiLevelType w:val="hybridMultilevel"/>
    <w:tmpl w:val="983A7616"/>
    <w:lvl w:ilvl="0" w:tplc="B2366DC2">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C3E3472"/>
    <w:multiLevelType w:val="multilevel"/>
    <w:tmpl w:val="7012FE38"/>
    <w:lvl w:ilvl="0">
      <w:start w:val="1"/>
      <w:numFmt w:val="decimal"/>
      <w:lvlText w:val="%1)"/>
      <w:lvlJc w:val="left"/>
      <w:pPr>
        <w:ind w:left="360" w:hanging="360"/>
      </w:pPr>
      <w:rPr>
        <w:rFonts w:hint="default"/>
      </w:rPr>
    </w:lvl>
    <w:lvl w:ilvl="1">
      <w:start w:val="1"/>
      <w:numFmt w:val="lowerLetter"/>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
  </w:num>
  <w:num w:numId="3">
    <w:abstractNumId w:val="23"/>
  </w:num>
  <w:num w:numId="4">
    <w:abstractNumId w:val="7"/>
  </w:num>
  <w:num w:numId="5">
    <w:abstractNumId w:val="2"/>
  </w:num>
  <w:num w:numId="6">
    <w:abstractNumId w:val="19"/>
  </w:num>
  <w:num w:numId="7">
    <w:abstractNumId w:val="21"/>
  </w:num>
  <w:num w:numId="8">
    <w:abstractNumId w:val="0"/>
  </w:num>
  <w:num w:numId="9">
    <w:abstractNumId w:val="3"/>
  </w:num>
  <w:num w:numId="10">
    <w:abstractNumId w:val="6"/>
  </w:num>
  <w:num w:numId="11">
    <w:abstractNumId w:val="14"/>
  </w:num>
  <w:num w:numId="12">
    <w:abstractNumId w:val="12"/>
  </w:num>
  <w:num w:numId="13">
    <w:abstractNumId w:val="5"/>
  </w:num>
  <w:num w:numId="14">
    <w:abstractNumId w:val="15"/>
  </w:num>
  <w:num w:numId="15">
    <w:abstractNumId w:val="9"/>
  </w:num>
  <w:num w:numId="16">
    <w:abstractNumId w:val="24"/>
  </w:num>
  <w:num w:numId="17">
    <w:abstractNumId w:val="4"/>
  </w:num>
  <w:num w:numId="18">
    <w:abstractNumId w:val="17"/>
  </w:num>
  <w:num w:numId="19">
    <w:abstractNumId w:val="18"/>
  </w:num>
  <w:num w:numId="20">
    <w:abstractNumId w:val="22"/>
  </w:num>
  <w:num w:numId="21">
    <w:abstractNumId w:val="8"/>
  </w:num>
  <w:num w:numId="22">
    <w:abstractNumId w:val="21"/>
  </w:num>
  <w:num w:numId="23">
    <w:abstractNumId w:val="21"/>
  </w:num>
  <w:num w:numId="24">
    <w:abstractNumId w:val="25"/>
  </w:num>
  <w:num w:numId="25">
    <w:abstractNumId w:val="21"/>
  </w:num>
  <w:num w:numId="26">
    <w:abstractNumId w:val="21"/>
  </w:num>
  <w:num w:numId="27">
    <w:abstractNumId w:val="21"/>
  </w:num>
  <w:num w:numId="28">
    <w:abstractNumId w:val="10"/>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9"/>
  </w:num>
  <w:num w:numId="37">
    <w:abstractNumId w:val="21"/>
  </w:num>
  <w:num w:numId="38">
    <w:abstractNumId w:val="20"/>
  </w:num>
  <w:num w:numId="39">
    <w:abstractNumId w:val="21"/>
  </w:num>
  <w:num w:numId="40">
    <w:abstractNumId w:val="21"/>
  </w:num>
  <w:num w:numId="41">
    <w:abstractNumId w:val="11"/>
  </w:num>
  <w:num w:numId="42">
    <w:abstractNumId w:val="13"/>
  </w:num>
  <w:num w:numId="43">
    <w:abstractNumId w:val="7"/>
  </w:num>
  <w:num w:numId="4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hideGrammatical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F0"/>
    <w:rsid w:val="0000167D"/>
    <w:rsid w:val="00003613"/>
    <w:rsid w:val="0000617E"/>
    <w:rsid w:val="000065F4"/>
    <w:rsid w:val="00015CFD"/>
    <w:rsid w:val="00020D3F"/>
    <w:rsid w:val="0002191E"/>
    <w:rsid w:val="00022930"/>
    <w:rsid w:val="00022D02"/>
    <w:rsid w:val="00023A7D"/>
    <w:rsid w:val="00023D71"/>
    <w:rsid w:val="00025F4B"/>
    <w:rsid w:val="0003048F"/>
    <w:rsid w:val="00030751"/>
    <w:rsid w:val="00032057"/>
    <w:rsid w:val="0003549A"/>
    <w:rsid w:val="00045BE8"/>
    <w:rsid w:val="0004789C"/>
    <w:rsid w:val="00052901"/>
    <w:rsid w:val="00054C7B"/>
    <w:rsid w:val="00057B4A"/>
    <w:rsid w:val="00066DE0"/>
    <w:rsid w:val="00077B0F"/>
    <w:rsid w:val="000811F7"/>
    <w:rsid w:val="00086EBB"/>
    <w:rsid w:val="00087046"/>
    <w:rsid w:val="00093BE2"/>
    <w:rsid w:val="00094656"/>
    <w:rsid w:val="000947B9"/>
    <w:rsid w:val="00095890"/>
    <w:rsid w:val="000A1422"/>
    <w:rsid w:val="000A45C0"/>
    <w:rsid w:val="000A56AF"/>
    <w:rsid w:val="000A7DDF"/>
    <w:rsid w:val="000B092A"/>
    <w:rsid w:val="000B566A"/>
    <w:rsid w:val="000B6606"/>
    <w:rsid w:val="000C0052"/>
    <w:rsid w:val="000C2D81"/>
    <w:rsid w:val="000C456C"/>
    <w:rsid w:val="000C4BAD"/>
    <w:rsid w:val="000C734E"/>
    <w:rsid w:val="000D3A5D"/>
    <w:rsid w:val="000D4EB7"/>
    <w:rsid w:val="000E18DE"/>
    <w:rsid w:val="000E4142"/>
    <w:rsid w:val="000E591A"/>
    <w:rsid w:val="000E7CD6"/>
    <w:rsid w:val="000F7C41"/>
    <w:rsid w:val="00105BFD"/>
    <w:rsid w:val="00111E3C"/>
    <w:rsid w:val="00120E1B"/>
    <w:rsid w:val="00123093"/>
    <w:rsid w:val="00124B67"/>
    <w:rsid w:val="00130ACE"/>
    <w:rsid w:val="00131431"/>
    <w:rsid w:val="001319C5"/>
    <w:rsid w:val="00132BF7"/>
    <w:rsid w:val="0013304F"/>
    <w:rsid w:val="00134A1B"/>
    <w:rsid w:val="00135785"/>
    <w:rsid w:val="00137A25"/>
    <w:rsid w:val="0014616E"/>
    <w:rsid w:val="001502C3"/>
    <w:rsid w:val="00154DCB"/>
    <w:rsid w:val="001631AF"/>
    <w:rsid w:val="00172511"/>
    <w:rsid w:val="00172A55"/>
    <w:rsid w:val="00173C64"/>
    <w:rsid w:val="00180CEA"/>
    <w:rsid w:val="00181021"/>
    <w:rsid w:val="00184197"/>
    <w:rsid w:val="001848E8"/>
    <w:rsid w:val="001872C7"/>
    <w:rsid w:val="001904CD"/>
    <w:rsid w:val="00191192"/>
    <w:rsid w:val="001922CE"/>
    <w:rsid w:val="0019356F"/>
    <w:rsid w:val="001942AF"/>
    <w:rsid w:val="0019538D"/>
    <w:rsid w:val="00196969"/>
    <w:rsid w:val="001A1E8D"/>
    <w:rsid w:val="001A390D"/>
    <w:rsid w:val="001A3C06"/>
    <w:rsid w:val="001B3B74"/>
    <w:rsid w:val="001B4388"/>
    <w:rsid w:val="001D0738"/>
    <w:rsid w:val="001D334A"/>
    <w:rsid w:val="001D48E2"/>
    <w:rsid w:val="001D7231"/>
    <w:rsid w:val="001E7E27"/>
    <w:rsid w:val="001F607F"/>
    <w:rsid w:val="00203039"/>
    <w:rsid w:val="00203261"/>
    <w:rsid w:val="00206372"/>
    <w:rsid w:val="002105D7"/>
    <w:rsid w:val="00211F7A"/>
    <w:rsid w:val="00213D89"/>
    <w:rsid w:val="00225D31"/>
    <w:rsid w:val="00230458"/>
    <w:rsid w:val="00230653"/>
    <w:rsid w:val="002316D0"/>
    <w:rsid w:val="00242241"/>
    <w:rsid w:val="002468C4"/>
    <w:rsid w:val="00252D1B"/>
    <w:rsid w:val="002543F1"/>
    <w:rsid w:val="00255D97"/>
    <w:rsid w:val="0025754F"/>
    <w:rsid w:val="00257B82"/>
    <w:rsid w:val="00260522"/>
    <w:rsid w:val="00260C50"/>
    <w:rsid w:val="00261618"/>
    <w:rsid w:val="00262565"/>
    <w:rsid w:val="002638DB"/>
    <w:rsid w:val="00265010"/>
    <w:rsid w:val="00265AC6"/>
    <w:rsid w:val="00265E2E"/>
    <w:rsid w:val="0026737B"/>
    <w:rsid w:val="002675DE"/>
    <w:rsid w:val="00270DE2"/>
    <w:rsid w:val="00271A99"/>
    <w:rsid w:val="002721F4"/>
    <w:rsid w:val="00273FFF"/>
    <w:rsid w:val="00276741"/>
    <w:rsid w:val="002775C5"/>
    <w:rsid w:val="0028411C"/>
    <w:rsid w:val="00284A53"/>
    <w:rsid w:val="00284C59"/>
    <w:rsid w:val="002869E6"/>
    <w:rsid w:val="0028739C"/>
    <w:rsid w:val="002905C5"/>
    <w:rsid w:val="0029218C"/>
    <w:rsid w:val="00293E6A"/>
    <w:rsid w:val="002967E5"/>
    <w:rsid w:val="002A10DC"/>
    <w:rsid w:val="002A3F78"/>
    <w:rsid w:val="002A7278"/>
    <w:rsid w:val="002B0BDB"/>
    <w:rsid w:val="002B55B2"/>
    <w:rsid w:val="002C0D3B"/>
    <w:rsid w:val="002C40EC"/>
    <w:rsid w:val="002C4AD7"/>
    <w:rsid w:val="002C6543"/>
    <w:rsid w:val="002C785A"/>
    <w:rsid w:val="002D0910"/>
    <w:rsid w:val="002D10CC"/>
    <w:rsid w:val="002D29C5"/>
    <w:rsid w:val="002D49CF"/>
    <w:rsid w:val="002D5A62"/>
    <w:rsid w:val="002E13F0"/>
    <w:rsid w:val="002E245D"/>
    <w:rsid w:val="002E4881"/>
    <w:rsid w:val="002E6985"/>
    <w:rsid w:val="002F323A"/>
    <w:rsid w:val="002F521F"/>
    <w:rsid w:val="002F73DD"/>
    <w:rsid w:val="00304E68"/>
    <w:rsid w:val="00311162"/>
    <w:rsid w:val="00314618"/>
    <w:rsid w:val="003267F2"/>
    <w:rsid w:val="003317EF"/>
    <w:rsid w:val="0033370C"/>
    <w:rsid w:val="0033390D"/>
    <w:rsid w:val="00337597"/>
    <w:rsid w:val="00344834"/>
    <w:rsid w:val="00344991"/>
    <w:rsid w:val="00345887"/>
    <w:rsid w:val="003550A9"/>
    <w:rsid w:val="00356340"/>
    <w:rsid w:val="00357146"/>
    <w:rsid w:val="00357DF1"/>
    <w:rsid w:val="00363422"/>
    <w:rsid w:val="00366093"/>
    <w:rsid w:val="00366A59"/>
    <w:rsid w:val="003730FF"/>
    <w:rsid w:val="0037323C"/>
    <w:rsid w:val="00376908"/>
    <w:rsid w:val="00377C9E"/>
    <w:rsid w:val="00377EA1"/>
    <w:rsid w:val="00380358"/>
    <w:rsid w:val="00380A08"/>
    <w:rsid w:val="00380A4E"/>
    <w:rsid w:val="00380ABE"/>
    <w:rsid w:val="00382E61"/>
    <w:rsid w:val="003922AB"/>
    <w:rsid w:val="00396674"/>
    <w:rsid w:val="00397B82"/>
    <w:rsid w:val="00397D39"/>
    <w:rsid w:val="003A176A"/>
    <w:rsid w:val="003A2B9E"/>
    <w:rsid w:val="003A75BB"/>
    <w:rsid w:val="003B0519"/>
    <w:rsid w:val="003B5475"/>
    <w:rsid w:val="003B5C27"/>
    <w:rsid w:val="003C3425"/>
    <w:rsid w:val="003C5800"/>
    <w:rsid w:val="003C6230"/>
    <w:rsid w:val="003C62A5"/>
    <w:rsid w:val="003C763C"/>
    <w:rsid w:val="003D141F"/>
    <w:rsid w:val="003D3EB0"/>
    <w:rsid w:val="003D5653"/>
    <w:rsid w:val="003D66C6"/>
    <w:rsid w:val="003E023F"/>
    <w:rsid w:val="003E2766"/>
    <w:rsid w:val="003E76CF"/>
    <w:rsid w:val="003F3725"/>
    <w:rsid w:val="003F7F46"/>
    <w:rsid w:val="00401732"/>
    <w:rsid w:val="004018B8"/>
    <w:rsid w:val="0040732E"/>
    <w:rsid w:val="00413131"/>
    <w:rsid w:val="00414DD8"/>
    <w:rsid w:val="0041701F"/>
    <w:rsid w:val="00423E8E"/>
    <w:rsid w:val="0043127C"/>
    <w:rsid w:val="00434AAE"/>
    <w:rsid w:val="0044173B"/>
    <w:rsid w:val="00443A1D"/>
    <w:rsid w:val="00444B3D"/>
    <w:rsid w:val="00452ED6"/>
    <w:rsid w:val="00454239"/>
    <w:rsid w:val="00455A55"/>
    <w:rsid w:val="00455E0A"/>
    <w:rsid w:val="0047263B"/>
    <w:rsid w:val="004745D9"/>
    <w:rsid w:val="00475386"/>
    <w:rsid w:val="0047717A"/>
    <w:rsid w:val="00482359"/>
    <w:rsid w:val="00485739"/>
    <w:rsid w:val="0049121B"/>
    <w:rsid w:val="00493BC9"/>
    <w:rsid w:val="00494E0A"/>
    <w:rsid w:val="00496567"/>
    <w:rsid w:val="00496ACD"/>
    <w:rsid w:val="00496E54"/>
    <w:rsid w:val="004A5E19"/>
    <w:rsid w:val="004A6217"/>
    <w:rsid w:val="004A7E27"/>
    <w:rsid w:val="004B6D8B"/>
    <w:rsid w:val="004B73CC"/>
    <w:rsid w:val="004D1D86"/>
    <w:rsid w:val="004D7E5A"/>
    <w:rsid w:val="004E3F1A"/>
    <w:rsid w:val="004E4D9B"/>
    <w:rsid w:val="004E5CF1"/>
    <w:rsid w:val="004E6782"/>
    <w:rsid w:val="004E7CB8"/>
    <w:rsid w:val="004F404D"/>
    <w:rsid w:val="004F76C8"/>
    <w:rsid w:val="0050041A"/>
    <w:rsid w:val="00505C72"/>
    <w:rsid w:val="00507B96"/>
    <w:rsid w:val="00512994"/>
    <w:rsid w:val="00515914"/>
    <w:rsid w:val="00526E8C"/>
    <w:rsid w:val="00530134"/>
    <w:rsid w:val="00533C77"/>
    <w:rsid w:val="00537BD4"/>
    <w:rsid w:val="00537EE1"/>
    <w:rsid w:val="005411D7"/>
    <w:rsid w:val="00541E4A"/>
    <w:rsid w:val="00543BB2"/>
    <w:rsid w:val="0054481C"/>
    <w:rsid w:val="00551052"/>
    <w:rsid w:val="00552A1E"/>
    <w:rsid w:val="00553218"/>
    <w:rsid w:val="00560B32"/>
    <w:rsid w:val="0056178B"/>
    <w:rsid w:val="0056421A"/>
    <w:rsid w:val="00571CCF"/>
    <w:rsid w:val="00571FE8"/>
    <w:rsid w:val="0057397C"/>
    <w:rsid w:val="00575F7D"/>
    <w:rsid w:val="0057685B"/>
    <w:rsid w:val="00577460"/>
    <w:rsid w:val="00577D80"/>
    <w:rsid w:val="00580EC4"/>
    <w:rsid w:val="005818B0"/>
    <w:rsid w:val="00581E06"/>
    <w:rsid w:val="005863B5"/>
    <w:rsid w:val="0059044E"/>
    <w:rsid w:val="005A4C9C"/>
    <w:rsid w:val="005A5ABD"/>
    <w:rsid w:val="005B18B3"/>
    <w:rsid w:val="005B335A"/>
    <w:rsid w:val="005B60B7"/>
    <w:rsid w:val="005B62BE"/>
    <w:rsid w:val="005B742E"/>
    <w:rsid w:val="005C6CF3"/>
    <w:rsid w:val="005D0C8F"/>
    <w:rsid w:val="005D2D0A"/>
    <w:rsid w:val="005D39B2"/>
    <w:rsid w:val="005D7FA3"/>
    <w:rsid w:val="005E16DD"/>
    <w:rsid w:val="005E762E"/>
    <w:rsid w:val="005F370E"/>
    <w:rsid w:val="005F4638"/>
    <w:rsid w:val="005F4686"/>
    <w:rsid w:val="005F7772"/>
    <w:rsid w:val="006040AE"/>
    <w:rsid w:val="006048B2"/>
    <w:rsid w:val="00604E88"/>
    <w:rsid w:val="006101EE"/>
    <w:rsid w:val="00611313"/>
    <w:rsid w:val="00611FF0"/>
    <w:rsid w:val="0061235D"/>
    <w:rsid w:val="0061259A"/>
    <w:rsid w:val="00612653"/>
    <w:rsid w:val="006165C6"/>
    <w:rsid w:val="0062112E"/>
    <w:rsid w:val="00622B15"/>
    <w:rsid w:val="00623C0F"/>
    <w:rsid w:val="006275DD"/>
    <w:rsid w:val="00633AA6"/>
    <w:rsid w:val="0063476B"/>
    <w:rsid w:val="0064274E"/>
    <w:rsid w:val="0064513D"/>
    <w:rsid w:val="00653E26"/>
    <w:rsid w:val="00660578"/>
    <w:rsid w:val="00667C5D"/>
    <w:rsid w:val="00671938"/>
    <w:rsid w:val="0067491D"/>
    <w:rsid w:val="006804C8"/>
    <w:rsid w:val="0068607F"/>
    <w:rsid w:val="00695328"/>
    <w:rsid w:val="0069664D"/>
    <w:rsid w:val="006A06DC"/>
    <w:rsid w:val="006A2ED0"/>
    <w:rsid w:val="006B1955"/>
    <w:rsid w:val="006B2915"/>
    <w:rsid w:val="006B29F8"/>
    <w:rsid w:val="006B5259"/>
    <w:rsid w:val="006B5D25"/>
    <w:rsid w:val="006B668D"/>
    <w:rsid w:val="006B7F68"/>
    <w:rsid w:val="006C17E3"/>
    <w:rsid w:val="006C73F1"/>
    <w:rsid w:val="006D2175"/>
    <w:rsid w:val="006E02CD"/>
    <w:rsid w:val="006E177C"/>
    <w:rsid w:val="0070083E"/>
    <w:rsid w:val="00701033"/>
    <w:rsid w:val="00702B75"/>
    <w:rsid w:val="00702C41"/>
    <w:rsid w:val="007074EE"/>
    <w:rsid w:val="00712AB6"/>
    <w:rsid w:val="00715546"/>
    <w:rsid w:val="00722567"/>
    <w:rsid w:val="00722C84"/>
    <w:rsid w:val="00724D00"/>
    <w:rsid w:val="00730169"/>
    <w:rsid w:val="0073193B"/>
    <w:rsid w:val="007365AE"/>
    <w:rsid w:val="00742EA4"/>
    <w:rsid w:val="00751487"/>
    <w:rsid w:val="0075451C"/>
    <w:rsid w:val="0075539E"/>
    <w:rsid w:val="0076427C"/>
    <w:rsid w:val="007725F6"/>
    <w:rsid w:val="00772D46"/>
    <w:rsid w:val="00772F35"/>
    <w:rsid w:val="0077448F"/>
    <w:rsid w:val="00776134"/>
    <w:rsid w:val="0077748A"/>
    <w:rsid w:val="00780D6D"/>
    <w:rsid w:val="00782D0B"/>
    <w:rsid w:val="00783E92"/>
    <w:rsid w:val="007868B5"/>
    <w:rsid w:val="007908C4"/>
    <w:rsid w:val="00791FB9"/>
    <w:rsid w:val="00794170"/>
    <w:rsid w:val="007A0AE6"/>
    <w:rsid w:val="007A1E3B"/>
    <w:rsid w:val="007A5D4D"/>
    <w:rsid w:val="007A7266"/>
    <w:rsid w:val="007A78B9"/>
    <w:rsid w:val="007B092C"/>
    <w:rsid w:val="007B2569"/>
    <w:rsid w:val="007B40A4"/>
    <w:rsid w:val="007B4EF8"/>
    <w:rsid w:val="007B53C4"/>
    <w:rsid w:val="007B5421"/>
    <w:rsid w:val="007B55DB"/>
    <w:rsid w:val="007B700F"/>
    <w:rsid w:val="007C012D"/>
    <w:rsid w:val="007C0187"/>
    <w:rsid w:val="007C0CB7"/>
    <w:rsid w:val="007C62BB"/>
    <w:rsid w:val="007C6304"/>
    <w:rsid w:val="007C7FA6"/>
    <w:rsid w:val="007D7045"/>
    <w:rsid w:val="007D70EE"/>
    <w:rsid w:val="007D7822"/>
    <w:rsid w:val="007E172A"/>
    <w:rsid w:val="007E5BFF"/>
    <w:rsid w:val="007F0BE1"/>
    <w:rsid w:val="007F1CA0"/>
    <w:rsid w:val="007F2739"/>
    <w:rsid w:val="007F644F"/>
    <w:rsid w:val="008107D4"/>
    <w:rsid w:val="00812DB6"/>
    <w:rsid w:val="0081635D"/>
    <w:rsid w:val="00816D7F"/>
    <w:rsid w:val="008172C4"/>
    <w:rsid w:val="0081781F"/>
    <w:rsid w:val="00817BBE"/>
    <w:rsid w:val="008336F4"/>
    <w:rsid w:val="0083552B"/>
    <w:rsid w:val="008407CB"/>
    <w:rsid w:val="0084286B"/>
    <w:rsid w:val="00850BFE"/>
    <w:rsid w:val="00851C84"/>
    <w:rsid w:val="008528FA"/>
    <w:rsid w:val="00854EA1"/>
    <w:rsid w:val="008552C5"/>
    <w:rsid w:val="0086102F"/>
    <w:rsid w:val="00861815"/>
    <w:rsid w:val="00862D1E"/>
    <w:rsid w:val="00864485"/>
    <w:rsid w:val="008654C3"/>
    <w:rsid w:val="00865776"/>
    <w:rsid w:val="00865F5F"/>
    <w:rsid w:val="00870074"/>
    <w:rsid w:val="00872E50"/>
    <w:rsid w:val="008737D4"/>
    <w:rsid w:val="008752B2"/>
    <w:rsid w:val="008810CD"/>
    <w:rsid w:val="00885DC9"/>
    <w:rsid w:val="008865F4"/>
    <w:rsid w:val="008874C2"/>
    <w:rsid w:val="00893259"/>
    <w:rsid w:val="008944AF"/>
    <w:rsid w:val="0089778F"/>
    <w:rsid w:val="008A1857"/>
    <w:rsid w:val="008A7218"/>
    <w:rsid w:val="008B027D"/>
    <w:rsid w:val="008B0569"/>
    <w:rsid w:val="008B479E"/>
    <w:rsid w:val="008C7222"/>
    <w:rsid w:val="008D2EA8"/>
    <w:rsid w:val="008D2F23"/>
    <w:rsid w:val="008D5673"/>
    <w:rsid w:val="008D5C16"/>
    <w:rsid w:val="008D6879"/>
    <w:rsid w:val="008E0067"/>
    <w:rsid w:val="008E0A74"/>
    <w:rsid w:val="008F1C28"/>
    <w:rsid w:val="009060CF"/>
    <w:rsid w:val="00906A8A"/>
    <w:rsid w:val="009121FB"/>
    <w:rsid w:val="00912659"/>
    <w:rsid w:val="00915A4E"/>
    <w:rsid w:val="00916467"/>
    <w:rsid w:val="00916687"/>
    <w:rsid w:val="00916CEA"/>
    <w:rsid w:val="00921A63"/>
    <w:rsid w:val="0092715C"/>
    <w:rsid w:val="009278DA"/>
    <w:rsid w:val="00933196"/>
    <w:rsid w:val="00933AEC"/>
    <w:rsid w:val="00934EEB"/>
    <w:rsid w:val="009355C0"/>
    <w:rsid w:val="009403FD"/>
    <w:rsid w:val="00943517"/>
    <w:rsid w:val="00945948"/>
    <w:rsid w:val="0094716F"/>
    <w:rsid w:val="00951C12"/>
    <w:rsid w:val="009546AB"/>
    <w:rsid w:val="009551AB"/>
    <w:rsid w:val="00955DA1"/>
    <w:rsid w:val="00962FD0"/>
    <w:rsid w:val="00964657"/>
    <w:rsid w:val="009708A1"/>
    <w:rsid w:val="009711A4"/>
    <w:rsid w:val="00972BA7"/>
    <w:rsid w:val="0097511C"/>
    <w:rsid w:val="00977416"/>
    <w:rsid w:val="009852D0"/>
    <w:rsid w:val="009855F8"/>
    <w:rsid w:val="00985766"/>
    <w:rsid w:val="0098792C"/>
    <w:rsid w:val="0099253C"/>
    <w:rsid w:val="00993FCA"/>
    <w:rsid w:val="0099769F"/>
    <w:rsid w:val="009A3186"/>
    <w:rsid w:val="009B14E5"/>
    <w:rsid w:val="009B37C9"/>
    <w:rsid w:val="009B4836"/>
    <w:rsid w:val="009B7228"/>
    <w:rsid w:val="009C018E"/>
    <w:rsid w:val="009C08F0"/>
    <w:rsid w:val="009C180E"/>
    <w:rsid w:val="009C4547"/>
    <w:rsid w:val="009C4AB8"/>
    <w:rsid w:val="009C6876"/>
    <w:rsid w:val="009C6CAC"/>
    <w:rsid w:val="009D134E"/>
    <w:rsid w:val="009E2119"/>
    <w:rsid w:val="009E3E93"/>
    <w:rsid w:val="009E6152"/>
    <w:rsid w:val="009E7C16"/>
    <w:rsid w:val="009F1ED0"/>
    <w:rsid w:val="009F4107"/>
    <w:rsid w:val="009F5F3D"/>
    <w:rsid w:val="009F62BF"/>
    <w:rsid w:val="00A018CF"/>
    <w:rsid w:val="00A066C6"/>
    <w:rsid w:val="00A1126F"/>
    <w:rsid w:val="00A25168"/>
    <w:rsid w:val="00A30C5C"/>
    <w:rsid w:val="00A31154"/>
    <w:rsid w:val="00A31351"/>
    <w:rsid w:val="00A32AD5"/>
    <w:rsid w:val="00A33F76"/>
    <w:rsid w:val="00A350A4"/>
    <w:rsid w:val="00A422FB"/>
    <w:rsid w:val="00A4275C"/>
    <w:rsid w:val="00A52384"/>
    <w:rsid w:val="00A56B2A"/>
    <w:rsid w:val="00A67118"/>
    <w:rsid w:val="00A671D9"/>
    <w:rsid w:val="00A710AA"/>
    <w:rsid w:val="00A730CC"/>
    <w:rsid w:val="00A74C2A"/>
    <w:rsid w:val="00A75FDE"/>
    <w:rsid w:val="00A8466B"/>
    <w:rsid w:val="00A8509D"/>
    <w:rsid w:val="00A8541C"/>
    <w:rsid w:val="00A86856"/>
    <w:rsid w:val="00A876B2"/>
    <w:rsid w:val="00A9098F"/>
    <w:rsid w:val="00A931D1"/>
    <w:rsid w:val="00A93987"/>
    <w:rsid w:val="00AA19C6"/>
    <w:rsid w:val="00AA1A4D"/>
    <w:rsid w:val="00AA4041"/>
    <w:rsid w:val="00AA5715"/>
    <w:rsid w:val="00AA7139"/>
    <w:rsid w:val="00AA7F2A"/>
    <w:rsid w:val="00AB0E14"/>
    <w:rsid w:val="00AB22B1"/>
    <w:rsid w:val="00AB40BA"/>
    <w:rsid w:val="00AB4868"/>
    <w:rsid w:val="00AB5098"/>
    <w:rsid w:val="00AB6029"/>
    <w:rsid w:val="00AC2F1B"/>
    <w:rsid w:val="00AC37DA"/>
    <w:rsid w:val="00AD01F2"/>
    <w:rsid w:val="00AD6A30"/>
    <w:rsid w:val="00AE3D34"/>
    <w:rsid w:val="00AE45EA"/>
    <w:rsid w:val="00AE6E03"/>
    <w:rsid w:val="00AF15E2"/>
    <w:rsid w:val="00AF4E22"/>
    <w:rsid w:val="00AF64AF"/>
    <w:rsid w:val="00B00FB2"/>
    <w:rsid w:val="00B0123D"/>
    <w:rsid w:val="00B01F85"/>
    <w:rsid w:val="00B0241A"/>
    <w:rsid w:val="00B0288C"/>
    <w:rsid w:val="00B0788F"/>
    <w:rsid w:val="00B136F5"/>
    <w:rsid w:val="00B14BCC"/>
    <w:rsid w:val="00B23E07"/>
    <w:rsid w:val="00B25F87"/>
    <w:rsid w:val="00B26EA0"/>
    <w:rsid w:val="00B30F45"/>
    <w:rsid w:val="00B31376"/>
    <w:rsid w:val="00B34616"/>
    <w:rsid w:val="00B36DC5"/>
    <w:rsid w:val="00B37ADD"/>
    <w:rsid w:val="00B43D7F"/>
    <w:rsid w:val="00B54597"/>
    <w:rsid w:val="00B578D0"/>
    <w:rsid w:val="00B57D2C"/>
    <w:rsid w:val="00B62285"/>
    <w:rsid w:val="00B636F8"/>
    <w:rsid w:val="00B65819"/>
    <w:rsid w:val="00B7403F"/>
    <w:rsid w:val="00B849CF"/>
    <w:rsid w:val="00B84A8F"/>
    <w:rsid w:val="00B8519D"/>
    <w:rsid w:val="00B85B21"/>
    <w:rsid w:val="00B86893"/>
    <w:rsid w:val="00B87728"/>
    <w:rsid w:val="00B95B32"/>
    <w:rsid w:val="00B97E99"/>
    <w:rsid w:val="00BA21A4"/>
    <w:rsid w:val="00BA2646"/>
    <w:rsid w:val="00BA314D"/>
    <w:rsid w:val="00BA79F5"/>
    <w:rsid w:val="00BB0D1A"/>
    <w:rsid w:val="00BB1796"/>
    <w:rsid w:val="00BB1D53"/>
    <w:rsid w:val="00BB21C3"/>
    <w:rsid w:val="00BB28BE"/>
    <w:rsid w:val="00BB398E"/>
    <w:rsid w:val="00BB7E71"/>
    <w:rsid w:val="00BC2719"/>
    <w:rsid w:val="00BC41FD"/>
    <w:rsid w:val="00BC5627"/>
    <w:rsid w:val="00BD2214"/>
    <w:rsid w:val="00BD2755"/>
    <w:rsid w:val="00BD63FD"/>
    <w:rsid w:val="00BD6F93"/>
    <w:rsid w:val="00BE34A6"/>
    <w:rsid w:val="00BF1F95"/>
    <w:rsid w:val="00BF2946"/>
    <w:rsid w:val="00C00F7E"/>
    <w:rsid w:val="00C0124B"/>
    <w:rsid w:val="00C02852"/>
    <w:rsid w:val="00C04D6B"/>
    <w:rsid w:val="00C0515D"/>
    <w:rsid w:val="00C07DD8"/>
    <w:rsid w:val="00C11A8F"/>
    <w:rsid w:val="00C146FB"/>
    <w:rsid w:val="00C1749B"/>
    <w:rsid w:val="00C17A8D"/>
    <w:rsid w:val="00C20A2B"/>
    <w:rsid w:val="00C21B87"/>
    <w:rsid w:val="00C226D0"/>
    <w:rsid w:val="00C2729D"/>
    <w:rsid w:val="00C308A4"/>
    <w:rsid w:val="00C32197"/>
    <w:rsid w:val="00C408D5"/>
    <w:rsid w:val="00C40F20"/>
    <w:rsid w:val="00C4536B"/>
    <w:rsid w:val="00C55ED0"/>
    <w:rsid w:val="00C615D7"/>
    <w:rsid w:val="00C62EB8"/>
    <w:rsid w:val="00C66777"/>
    <w:rsid w:val="00C66BD8"/>
    <w:rsid w:val="00C708F0"/>
    <w:rsid w:val="00C7137F"/>
    <w:rsid w:val="00C72A0D"/>
    <w:rsid w:val="00C76C5E"/>
    <w:rsid w:val="00C811D2"/>
    <w:rsid w:val="00C84D79"/>
    <w:rsid w:val="00C85C79"/>
    <w:rsid w:val="00C927A7"/>
    <w:rsid w:val="00C94DC4"/>
    <w:rsid w:val="00CA194E"/>
    <w:rsid w:val="00CA2A3F"/>
    <w:rsid w:val="00CA5A94"/>
    <w:rsid w:val="00CA5D8E"/>
    <w:rsid w:val="00CB1C48"/>
    <w:rsid w:val="00CC2575"/>
    <w:rsid w:val="00CD2358"/>
    <w:rsid w:val="00CD25C7"/>
    <w:rsid w:val="00CD2DF6"/>
    <w:rsid w:val="00CD3C66"/>
    <w:rsid w:val="00CD4232"/>
    <w:rsid w:val="00CD690D"/>
    <w:rsid w:val="00CE1D68"/>
    <w:rsid w:val="00CE2712"/>
    <w:rsid w:val="00CE29D7"/>
    <w:rsid w:val="00CE586B"/>
    <w:rsid w:val="00CF2895"/>
    <w:rsid w:val="00CF51AD"/>
    <w:rsid w:val="00D02E95"/>
    <w:rsid w:val="00D0306B"/>
    <w:rsid w:val="00D03CED"/>
    <w:rsid w:val="00D05B67"/>
    <w:rsid w:val="00D07958"/>
    <w:rsid w:val="00D13691"/>
    <w:rsid w:val="00D22FAD"/>
    <w:rsid w:val="00D23014"/>
    <w:rsid w:val="00D254D5"/>
    <w:rsid w:val="00D3042E"/>
    <w:rsid w:val="00D35A44"/>
    <w:rsid w:val="00D36C9F"/>
    <w:rsid w:val="00D421B6"/>
    <w:rsid w:val="00D464F6"/>
    <w:rsid w:val="00D509FE"/>
    <w:rsid w:val="00D51809"/>
    <w:rsid w:val="00D559D1"/>
    <w:rsid w:val="00D608E3"/>
    <w:rsid w:val="00D7087C"/>
    <w:rsid w:val="00D70DA7"/>
    <w:rsid w:val="00D715D7"/>
    <w:rsid w:val="00D73280"/>
    <w:rsid w:val="00D740E2"/>
    <w:rsid w:val="00D804FF"/>
    <w:rsid w:val="00D80F94"/>
    <w:rsid w:val="00D87494"/>
    <w:rsid w:val="00D90056"/>
    <w:rsid w:val="00D90B4C"/>
    <w:rsid w:val="00D92144"/>
    <w:rsid w:val="00D92280"/>
    <w:rsid w:val="00D93242"/>
    <w:rsid w:val="00D937A3"/>
    <w:rsid w:val="00D93A74"/>
    <w:rsid w:val="00D93EEB"/>
    <w:rsid w:val="00D94F2C"/>
    <w:rsid w:val="00D952E5"/>
    <w:rsid w:val="00DA0E1A"/>
    <w:rsid w:val="00DA3AB9"/>
    <w:rsid w:val="00DA6B27"/>
    <w:rsid w:val="00DB15B7"/>
    <w:rsid w:val="00DB183B"/>
    <w:rsid w:val="00DB2167"/>
    <w:rsid w:val="00DC012A"/>
    <w:rsid w:val="00DC4CF3"/>
    <w:rsid w:val="00DD383F"/>
    <w:rsid w:val="00DD3BFE"/>
    <w:rsid w:val="00DD3F49"/>
    <w:rsid w:val="00DD51D1"/>
    <w:rsid w:val="00DD6084"/>
    <w:rsid w:val="00DD63AB"/>
    <w:rsid w:val="00DD6453"/>
    <w:rsid w:val="00DE182E"/>
    <w:rsid w:val="00DE4023"/>
    <w:rsid w:val="00DE681E"/>
    <w:rsid w:val="00DF08EA"/>
    <w:rsid w:val="00DF0DF8"/>
    <w:rsid w:val="00DF1EC1"/>
    <w:rsid w:val="00DF4D5D"/>
    <w:rsid w:val="00DF5B75"/>
    <w:rsid w:val="00E00A62"/>
    <w:rsid w:val="00E05796"/>
    <w:rsid w:val="00E0700F"/>
    <w:rsid w:val="00E074D8"/>
    <w:rsid w:val="00E10F27"/>
    <w:rsid w:val="00E13A26"/>
    <w:rsid w:val="00E244D4"/>
    <w:rsid w:val="00E415CD"/>
    <w:rsid w:val="00E46ACF"/>
    <w:rsid w:val="00E53DF2"/>
    <w:rsid w:val="00E5400D"/>
    <w:rsid w:val="00E55893"/>
    <w:rsid w:val="00E611DD"/>
    <w:rsid w:val="00E61D39"/>
    <w:rsid w:val="00E67DE6"/>
    <w:rsid w:val="00E70D7E"/>
    <w:rsid w:val="00E72F0A"/>
    <w:rsid w:val="00E75739"/>
    <w:rsid w:val="00E75D00"/>
    <w:rsid w:val="00E75E07"/>
    <w:rsid w:val="00E900A3"/>
    <w:rsid w:val="00E91533"/>
    <w:rsid w:val="00E92976"/>
    <w:rsid w:val="00E93BEC"/>
    <w:rsid w:val="00E97F7F"/>
    <w:rsid w:val="00EA1AFD"/>
    <w:rsid w:val="00EA26F6"/>
    <w:rsid w:val="00EA402B"/>
    <w:rsid w:val="00EA6BC6"/>
    <w:rsid w:val="00EB0945"/>
    <w:rsid w:val="00EB2718"/>
    <w:rsid w:val="00EB3C20"/>
    <w:rsid w:val="00EB5AD4"/>
    <w:rsid w:val="00EB5CD5"/>
    <w:rsid w:val="00EC11AB"/>
    <w:rsid w:val="00EC32AB"/>
    <w:rsid w:val="00EC34AE"/>
    <w:rsid w:val="00EC7803"/>
    <w:rsid w:val="00ED4C45"/>
    <w:rsid w:val="00EE2D8F"/>
    <w:rsid w:val="00EE2F7D"/>
    <w:rsid w:val="00EE41A4"/>
    <w:rsid w:val="00EF3E46"/>
    <w:rsid w:val="00EF58DA"/>
    <w:rsid w:val="00F00614"/>
    <w:rsid w:val="00F026FA"/>
    <w:rsid w:val="00F06462"/>
    <w:rsid w:val="00F110BF"/>
    <w:rsid w:val="00F11A6D"/>
    <w:rsid w:val="00F125D3"/>
    <w:rsid w:val="00F1452E"/>
    <w:rsid w:val="00F16ACB"/>
    <w:rsid w:val="00F1744E"/>
    <w:rsid w:val="00F17470"/>
    <w:rsid w:val="00F21843"/>
    <w:rsid w:val="00F25AA8"/>
    <w:rsid w:val="00F33C8B"/>
    <w:rsid w:val="00F34DB9"/>
    <w:rsid w:val="00F416CB"/>
    <w:rsid w:val="00F434A8"/>
    <w:rsid w:val="00F44DA8"/>
    <w:rsid w:val="00F46F55"/>
    <w:rsid w:val="00F51D08"/>
    <w:rsid w:val="00F535F8"/>
    <w:rsid w:val="00F5450D"/>
    <w:rsid w:val="00F635E1"/>
    <w:rsid w:val="00F650A3"/>
    <w:rsid w:val="00F6578A"/>
    <w:rsid w:val="00F71457"/>
    <w:rsid w:val="00F73EC1"/>
    <w:rsid w:val="00F74962"/>
    <w:rsid w:val="00F77420"/>
    <w:rsid w:val="00F77716"/>
    <w:rsid w:val="00F831D2"/>
    <w:rsid w:val="00F84A4A"/>
    <w:rsid w:val="00F856DA"/>
    <w:rsid w:val="00F86D43"/>
    <w:rsid w:val="00FA12CF"/>
    <w:rsid w:val="00FA55DE"/>
    <w:rsid w:val="00FA59F6"/>
    <w:rsid w:val="00FA7937"/>
    <w:rsid w:val="00FB030B"/>
    <w:rsid w:val="00FB0854"/>
    <w:rsid w:val="00FC4989"/>
    <w:rsid w:val="00FC498C"/>
    <w:rsid w:val="00FC4EEB"/>
    <w:rsid w:val="00FD03DC"/>
    <w:rsid w:val="00FD3559"/>
    <w:rsid w:val="00FD3AB6"/>
    <w:rsid w:val="00FD4DBB"/>
    <w:rsid w:val="00FD59FF"/>
    <w:rsid w:val="00FE2F36"/>
    <w:rsid w:val="00FE4B92"/>
    <w:rsid w:val="00FF12B7"/>
    <w:rsid w:val="00FF5B56"/>
    <w:rsid w:val="00FF61D6"/>
    <w:rsid w:val="07C7AE64"/>
    <w:rsid w:val="112E384C"/>
    <w:rsid w:val="155B9AD7"/>
    <w:rsid w:val="1F00F0F9"/>
    <w:rsid w:val="2DD87758"/>
    <w:rsid w:val="3D60B9E3"/>
    <w:rsid w:val="45B53E50"/>
    <w:rsid w:val="4B0B567F"/>
    <w:rsid w:val="565FDAE4"/>
    <w:rsid w:val="625190DD"/>
    <w:rsid w:val="785F296B"/>
    <w:rsid w:val="7925FD1F"/>
    <w:rsid w:val="7CA32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DBA21"/>
  <w15:chartTrackingRefBased/>
  <w15:docId w15:val="{A8BDD26B-4CA0-4CD2-80E5-4106C8B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0"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F16ACB"/>
    <w:pPr>
      <w:spacing w:after="0" w:line="240" w:lineRule="auto"/>
    </w:pPr>
    <w:rPr>
      <w:rFonts w:ascii="Arial" w:hAnsi="Arial"/>
      <w:sz w:val="20"/>
    </w:rPr>
  </w:style>
  <w:style w:type="paragraph" w:styleId="Heading1">
    <w:name w:val="heading 1"/>
    <w:basedOn w:val="Normal"/>
    <w:next w:val="Normal"/>
    <w:link w:val="Heading1Char"/>
    <w:uiPriority w:val="2"/>
    <w:qFormat/>
    <w:rsid w:val="006101EE"/>
    <w:pPr>
      <w:widowControl w:val="0"/>
      <w:numPr>
        <w:numId w:val="6"/>
      </w:numPr>
      <w:spacing w:before="240"/>
      <w:outlineLvl w:val="0"/>
    </w:pPr>
    <w:rPr>
      <w:rFonts w:eastAsiaTheme="majorEastAsia" w:cstheme="majorBidi"/>
      <w:b/>
      <w:sz w:val="24"/>
      <w:szCs w:val="32"/>
    </w:rPr>
  </w:style>
  <w:style w:type="paragraph" w:styleId="Heading2">
    <w:name w:val="heading 2"/>
    <w:basedOn w:val="Heading1"/>
    <w:next w:val="Normal"/>
    <w:link w:val="Heading2Char"/>
    <w:uiPriority w:val="3"/>
    <w:unhideWhenUsed/>
    <w:qFormat/>
    <w:rsid w:val="006101EE"/>
    <w:pPr>
      <w:numPr>
        <w:ilvl w:val="1"/>
      </w:numPr>
      <w:outlineLvl w:val="1"/>
    </w:pPr>
    <w:rPr>
      <w:rFonts w:eastAsia="Times New Roman"/>
      <w:b w:val="0"/>
      <w:sz w:val="20"/>
      <w:lang w:eastAsia="en-AU"/>
    </w:rPr>
  </w:style>
  <w:style w:type="paragraph" w:styleId="Heading3">
    <w:name w:val="heading 3"/>
    <w:basedOn w:val="Heading2"/>
    <w:next w:val="Normal"/>
    <w:link w:val="Heading3Char"/>
    <w:uiPriority w:val="4"/>
    <w:unhideWhenUsed/>
    <w:qFormat/>
    <w:rsid w:val="0075539E"/>
    <w:pPr>
      <w:numPr>
        <w:ilvl w:val="2"/>
      </w:numPr>
      <w:outlineLvl w:val="2"/>
    </w:pPr>
    <w:rPr>
      <w:sz w:val="24"/>
    </w:rPr>
  </w:style>
  <w:style w:type="paragraph" w:styleId="Heading4">
    <w:name w:val="heading 4"/>
    <w:basedOn w:val="Heading3"/>
    <w:next w:val="Normal"/>
    <w:link w:val="Heading4Char"/>
    <w:unhideWhenUsed/>
    <w:qFormat/>
    <w:rsid w:val="0075539E"/>
    <w:pPr>
      <w:numPr>
        <w:ilvl w:val="3"/>
      </w:numPr>
      <w:outlineLvl w:val="3"/>
    </w:pPr>
    <w:rPr>
      <w:rFonts w:ascii="Century Gothic" w:hAnsi="Century Gothic"/>
      <w:color w:val="404040" w:themeColor="text1" w:themeTint="BF"/>
      <w:sz w:val="22"/>
      <w:szCs w:val="22"/>
    </w:rPr>
  </w:style>
  <w:style w:type="paragraph" w:styleId="Heading5">
    <w:name w:val="heading 5"/>
    <w:basedOn w:val="Normal"/>
    <w:next w:val="Normal"/>
    <w:link w:val="Heading5Char"/>
    <w:autoRedefine/>
    <w:uiPriority w:val="6"/>
    <w:unhideWhenUsed/>
    <w:qFormat/>
    <w:rsid w:val="00397B82"/>
    <w:pPr>
      <w:widowControl w:val="0"/>
      <w:numPr>
        <w:ilvl w:val="4"/>
        <w:numId w:val="6"/>
      </w:numPr>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6101EE"/>
    <w:pPr>
      <w:keepNext/>
      <w:keepLines/>
      <w:numPr>
        <w:numId w:val="7"/>
      </w:numPr>
      <w:spacing w:before="40"/>
      <w:outlineLvl w:val="5"/>
    </w:pPr>
    <w:rPr>
      <w:rFonts w:eastAsia="Times New Roman" w:cstheme="majorBidi"/>
      <w:lang w:eastAsia="en-AU"/>
    </w:rPr>
  </w:style>
  <w:style w:type="paragraph" w:styleId="Heading7">
    <w:name w:val="heading 7"/>
    <w:aliases w:val="Policy bullet points"/>
    <w:basedOn w:val="Normal"/>
    <w:next w:val="Normal"/>
    <w:link w:val="Heading7Char"/>
    <w:uiPriority w:val="9"/>
    <w:unhideWhenUsed/>
    <w:qFormat/>
    <w:rsid w:val="0076427C"/>
    <w:pPr>
      <w:keepNext/>
      <w:keepLines/>
      <w:numPr>
        <w:numId w:val="8"/>
      </w:numPr>
      <w:ind w:left="714" w:hanging="357"/>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28739C"/>
    <w:pPr>
      <w:keepNext/>
      <w:keepLines/>
      <w:numPr>
        <w:ilvl w:val="7"/>
        <w:numId w:val="6"/>
      </w:numPr>
      <w:tabs>
        <w:tab w:val="num" w:pos="360"/>
      </w:tabs>
      <w:spacing w:before="40"/>
      <w:ind w:left="0" w:firstLine="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75539E"/>
    <w:pPr>
      <w:keepNext/>
      <w:keepLines/>
      <w:numPr>
        <w:ilvl w:val="8"/>
        <w:numId w:val="6"/>
      </w:numPr>
      <w:tabs>
        <w:tab w:val="num" w:pos="360"/>
      </w:tabs>
      <w:spacing w:before="40"/>
      <w:ind w:left="0" w:firstLine="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01EE"/>
    <w:rPr>
      <w:rFonts w:ascii="Arial" w:eastAsiaTheme="majorEastAsia" w:hAnsi="Arial" w:cstheme="majorBidi"/>
      <w:b/>
      <w:sz w:val="24"/>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1"/>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2"/>
      </w:numPr>
    </w:pPr>
  </w:style>
  <w:style w:type="character" w:customStyle="1" w:styleId="Style3Char">
    <w:name w:val="Style 3 Char"/>
    <w:basedOn w:val="Style1Char"/>
    <w:link w:val="Style3"/>
    <w:rsid w:val="0028739C"/>
    <w:rPr>
      <w:rFonts w:ascii="Arial" w:hAnsi="Arial" w:cs="Arial"/>
      <w:b/>
      <w:color w:val="404040" w:themeColor="text1" w:themeTint="BF"/>
      <w:sz w:val="16"/>
      <w:lang w:val="en-US"/>
    </w:rPr>
  </w:style>
  <w:style w:type="paragraph" w:customStyle="1" w:styleId="Style4">
    <w:name w:val="Style4"/>
    <w:basedOn w:val="Style3"/>
    <w:link w:val="Style4Char"/>
    <w:rsid w:val="0028739C"/>
    <w:pPr>
      <w:numPr>
        <w:numId w:val="3"/>
      </w:numPr>
    </w:pPr>
  </w:style>
  <w:style w:type="character" w:customStyle="1" w:styleId="Style2Char">
    <w:name w:val="Style 2 Char"/>
    <w:basedOn w:val="Style1Char"/>
    <w:link w:val="Style2"/>
    <w:rsid w:val="0028739C"/>
    <w:rPr>
      <w:rFonts w:ascii="Arial" w:hAnsi="Arial" w:cs="Arial"/>
      <w:b/>
      <w:color w:val="404040" w:themeColor="text1" w:themeTint="BF"/>
      <w:sz w:val="16"/>
      <w:lang w:val="en-US"/>
    </w:rPr>
  </w:style>
  <w:style w:type="character" w:customStyle="1" w:styleId="Heading3Char">
    <w:name w:val="Heading 3 Char"/>
    <w:basedOn w:val="DefaultParagraphFont"/>
    <w:link w:val="Heading3"/>
    <w:uiPriority w:val="9"/>
    <w:rsid w:val="0075539E"/>
    <w:rPr>
      <w:rFonts w:ascii="Arial" w:eastAsia="Times New Roman" w:hAnsi="Arial" w:cstheme="majorBidi"/>
      <w:sz w:val="24"/>
      <w:szCs w:val="32"/>
      <w:lang w:eastAsia="en-AU"/>
    </w:rPr>
  </w:style>
  <w:style w:type="character" w:customStyle="1" w:styleId="Style4Char">
    <w:name w:val="Style4 Char"/>
    <w:basedOn w:val="Style3Char"/>
    <w:link w:val="Style4"/>
    <w:rsid w:val="0028739C"/>
    <w:rPr>
      <w:rFonts w:ascii="Arial" w:hAnsi="Arial" w:cs="Arial"/>
      <w:b/>
      <w:color w:val="404040" w:themeColor="text1" w:themeTint="BF"/>
      <w:sz w:val="16"/>
      <w:lang w:val="en-US"/>
    </w:rPr>
  </w:style>
  <w:style w:type="character" w:customStyle="1" w:styleId="Heading2Char">
    <w:name w:val="Heading 2 Char"/>
    <w:basedOn w:val="DefaultParagraphFont"/>
    <w:link w:val="Heading2"/>
    <w:uiPriority w:val="9"/>
    <w:rsid w:val="006101EE"/>
    <w:rPr>
      <w:rFonts w:ascii="Arial" w:eastAsia="Times New Roman" w:hAnsi="Arial" w:cstheme="majorBidi"/>
      <w:sz w:val="20"/>
      <w:szCs w:val="32"/>
      <w:lang w:eastAsia="en-AU"/>
    </w:rPr>
  </w:style>
  <w:style w:type="character" w:customStyle="1" w:styleId="Heading4Char">
    <w:name w:val="Heading 4 Char"/>
    <w:basedOn w:val="DefaultParagraphFont"/>
    <w:link w:val="Heading4"/>
    <w:uiPriority w:val="9"/>
    <w:rsid w:val="0075539E"/>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9"/>
    <w:rsid w:val="00397B82"/>
    <w:rPr>
      <w:rFonts w:ascii="Arial" w:eastAsiaTheme="majorEastAsia" w:hAnsi="Arial" w:cstheme="majorBidi"/>
      <w:sz w:val="20"/>
    </w:rPr>
  </w:style>
  <w:style w:type="character" w:customStyle="1" w:styleId="Heading6Char">
    <w:name w:val="Heading 6 Char"/>
    <w:basedOn w:val="DefaultParagraphFont"/>
    <w:link w:val="Heading6"/>
    <w:uiPriority w:val="9"/>
    <w:rsid w:val="006101EE"/>
    <w:rPr>
      <w:rFonts w:ascii="Arial" w:eastAsia="Times New Roman" w:hAnsi="Arial" w:cstheme="majorBidi"/>
      <w:sz w:val="20"/>
      <w:lang w:eastAsia="en-AU"/>
    </w:rPr>
  </w:style>
  <w:style w:type="character" w:customStyle="1" w:styleId="Heading7Char">
    <w:name w:val="Heading 7 Char"/>
    <w:aliases w:val="Policy bullet points Char"/>
    <w:basedOn w:val="DefaultParagraphFont"/>
    <w:link w:val="Heading7"/>
    <w:uiPriority w:val="9"/>
    <w:rsid w:val="0076427C"/>
    <w:rPr>
      <w:rFonts w:ascii="Arial" w:eastAsiaTheme="majorEastAsia" w:hAnsi="Arial" w:cstheme="majorBidi"/>
      <w:iCs/>
      <w:sz w:val="20"/>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75539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75539E"/>
    <w:pPr>
      <w:contextualSpacing/>
    </w:pPr>
    <w:rPr>
      <w:rFonts w:ascii="UWA" w:eastAsiaTheme="majorEastAsia" w:hAnsi="UWA" w:cstheme="majorBidi"/>
      <w:color w:val="DAAA00"/>
      <w:spacing w:val="-10"/>
      <w:kern w:val="28"/>
      <w:sz w:val="56"/>
      <w:szCs w:val="56"/>
    </w:rPr>
  </w:style>
  <w:style w:type="character" w:customStyle="1" w:styleId="TitleChar">
    <w:name w:val="Title Char"/>
    <w:basedOn w:val="DefaultParagraphFont"/>
    <w:link w:val="Title"/>
    <w:rsid w:val="0075539E"/>
    <w:rPr>
      <w:rFonts w:ascii="UWA" w:eastAsiaTheme="majorEastAsia" w:hAnsi="UWA" w:cstheme="majorBidi"/>
      <w:color w:val="DAAA00"/>
      <w:spacing w:val="-10"/>
      <w:kern w:val="28"/>
      <w:sz w:val="56"/>
      <w:szCs w:val="56"/>
    </w:rPr>
  </w:style>
  <w:style w:type="paragraph" w:styleId="BalloonText">
    <w:name w:val="Balloon Text"/>
    <w:basedOn w:val="Normal"/>
    <w:link w:val="BalloonTextChar"/>
    <w:uiPriority w:val="99"/>
    <w:semiHidden/>
    <w:unhideWhenUsed/>
    <w:rsid w:val="0028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3D66C6"/>
    <w:pPr>
      <w:widowControl w:val="0"/>
      <w:numPr>
        <w:ilvl w:val="1"/>
      </w:numPr>
      <w:spacing w:after="160"/>
    </w:pPr>
    <w:rPr>
      <w:rFonts w:ascii="UWA" w:eastAsiaTheme="minorEastAsia" w:hAnsi="UWA"/>
      <w:color w:val="003087"/>
      <w:spacing w:val="15"/>
      <w:sz w:val="48"/>
      <w:szCs w:val="48"/>
    </w:rPr>
  </w:style>
  <w:style w:type="character" w:customStyle="1" w:styleId="SubtitleChar">
    <w:name w:val="Subtitle Char"/>
    <w:basedOn w:val="DefaultParagraphFont"/>
    <w:link w:val="Subtitle"/>
    <w:uiPriority w:val="1"/>
    <w:rsid w:val="003D66C6"/>
    <w:rPr>
      <w:rFonts w:ascii="UWA" w:eastAsiaTheme="minorEastAsia" w:hAnsi="UWA"/>
      <w:color w:val="003087"/>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Arial" w:hAnsi="Arial" w:cs="Helvetica"/>
      <w:color w:val="000000" w:themeColor="text1"/>
      <w:sz w:val="20"/>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4"/>
      </w:numPr>
      <w:contextualSpacing/>
    </w:pPr>
  </w:style>
  <w:style w:type="paragraph" w:customStyle="1" w:styleId="ListBulletTable2">
    <w:name w:val="List Bullet Table 2"/>
    <w:basedOn w:val="Normal"/>
    <w:rsid w:val="0028739C"/>
    <w:pPr>
      <w:numPr>
        <w:numId w:val="5"/>
      </w:numPr>
    </w:pPr>
    <w:rPr>
      <w:rFonts w:cs="Helvetica"/>
    </w:rPr>
  </w:style>
  <w:style w:type="character" w:customStyle="1" w:styleId="Style2Char0">
    <w:name w:val="Style2 Char"/>
    <w:basedOn w:val="Style1Char0"/>
    <w:link w:val="Style20"/>
    <w:rsid w:val="0028739C"/>
    <w:rPr>
      <w:rFonts w:ascii="Arial" w:hAnsi="Arial" w:cs="Helvetica"/>
      <w:color w:val="000000" w:themeColor="text1"/>
      <w:sz w:val="20"/>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rPr>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75539E"/>
  </w:style>
  <w:style w:type="paragraph" w:customStyle="1" w:styleId="Note">
    <w:name w:val="Note"/>
    <w:basedOn w:val="Normal"/>
    <w:link w:val="NoteChar"/>
    <w:uiPriority w:val="12"/>
    <w:qFormat/>
    <w:rsid w:val="0075539E"/>
    <w:rPr>
      <w:b/>
      <w:color w:val="003087"/>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75539E"/>
    <w:rPr>
      <w:rFonts w:ascii="Century Gothic" w:hAnsi="Century Gothic"/>
      <w:color w:val="404040" w:themeColor="text1" w:themeTint="BF"/>
    </w:rPr>
  </w:style>
  <w:style w:type="paragraph" w:customStyle="1" w:styleId="Bullet">
    <w:name w:val="Bullet"/>
    <w:basedOn w:val="ListParagraph"/>
    <w:link w:val="BulletChar"/>
    <w:uiPriority w:val="11"/>
    <w:qFormat/>
    <w:rsid w:val="0075539E"/>
    <w:pPr>
      <w:numPr>
        <w:numId w:val="0"/>
      </w:numPr>
      <w:ind w:left="1418" w:hanging="851"/>
    </w:pPr>
  </w:style>
  <w:style w:type="character" w:customStyle="1" w:styleId="NoteChar">
    <w:name w:val="Note Char"/>
    <w:basedOn w:val="DefaultParagraphFont"/>
    <w:link w:val="Note"/>
    <w:uiPriority w:val="12"/>
    <w:rsid w:val="0075539E"/>
    <w:rPr>
      <w:rFonts w:ascii="Century Gothic" w:hAnsi="Century Gothic"/>
      <w:b/>
      <w:color w:val="003087"/>
    </w:rPr>
  </w:style>
  <w:style w:type="character" w:customStyle="1" w:styleId="ListParagraphChar">
    <w:name w:val="List Paragraph Char"/>
    <w:basedOn w:val="DefaultParagraphFont"/>
    <w:link w:val="ListParagraph"/>
    <w:uiPriority w:val="34"/>
    <w:rsid w:val="0028739C"/>
    <w:rPr>
      <w:rFonts w:ascii="Arial" w:hAnsi="Arial"/>
      <w:sz w:val="20"/>
    </w:rPr>
  </w:style>
  <w:style w:type="character" w:customStyle="1" w:styleId="BulletChar">
    <w:name w:val="Bullet Char"/>
    <w:basedOn w:val="ListParagraphChar"/>
    <w:link w:val="Bullet"/>
    <w:uiPriority w:val="11"/>
    <w:rsid w:val="0075539E"/>
    <w:rPr>
      <w:rFonts w:ascii="Century Gothic" w:hAnsi="Century Gothic"/>
      <w:color w:val="404040" w:themeColor="text1" w:themeTint="BF"/>
      <w:sz w:val="20"/>
    </w:rPr>
  </w:style>
  <w:style w:type="character" w:styleId="Strong">
    <w:name w:val="Strong"/>
    <w:basedOn w:val="DefaultParagraphFont"/>
    <w:uiPriority w:val="22"/>
    <w:qFormat/>
    <w:rsid w:val="00783E92"/>
    <w:rPr>
      <w:b/>
      <w:bCs/>
    </w:rPr>
  </w:style>
  <w:style w:type="paragraph" w:styleId="ListBullet">
    <w:name w:val="List Bullet"/>
    <w:basedOn w:val="Normal"/>
    <w:rsid w:val="00EF58DA"/>
    <w:pPr>
      <w:spacing w:after="200"/>
    </w:pPr>
    <w:rPr>
      <w:rFonts w:eastAsia="Times New Roman" w:cs="Times New Roman"/>
      <w:sz w:val="24"/>
      <w:szCs w:val="24"/>
      <w:lang w:eastAsia="en-AU"/>
    </w:rPr>
  </w:style>
  <w:style w:type="paragraph" w:customStyle="1" w:styleId="Default">
    <w:name w:val="Default"/>
    <w:rsid w:val="00AE6E03"/>
    <w:pPr>
      <w:autoSpaceDE w:val="0"/>
      <w:autoSpaceDN w:val="0"/>
      <w:adjustRightInd w:val="0"/>
      <w:spacing w:after="0" w:line="240" w:lineRule="auto"/>
    </w:pPr>
    <w:rPr>
      <w:rFonts w:ascii="Arial" w:hAnsi="Arial" w:cs="Arial"/>
      <w:color w:val="000000"/>
      <w:sz w:val="24"/>
      <w:szCs w:val="24"/>
    </w:rPr>
  </w:style>
  <w:style w:type="paragraph" w:customStyle="1" w:styleId="Style31">
    <w:name w:val="Style3"/>
    <w:basedOn w:val="Normal"/>
    <w:next w:val="Normal"/>
    <w:rsid w:val="009F62BF"/>
    <w:pPr>
      <w:tabs>
        <w:tab w:val="num" w:pos="864"/>
      </w:tabs>
      <w:ind w:left="864" w:hanging="864"/>
    </w:pPr>
    <w:rPr>
      <w:rFonts w:eastAsia="Times New Roman" w:cs="Times New Roman"/>
      <w:sz w:val="24"/>
      <w:szCs w:val="24"/>
      <w:lang w:eastAsia="en-AU"/>
    </w:rPr>
  </w:style>
  <w:style w:type="paragraph" w:customStyle="1" w:styleId="Definitions0">
    <w:name w:val="Definitions"/>
    <w:basedOn w:val="Normal"/>
    <w:rsid w:val="005B742E"/>
    <w:rPr>
      <w:rFonts w:eastAsia="Times New Roman" w:cs="Times New Roman"/>
      <w:szCs w:val="24"/>
      <w:lang w:eastAsia="en-AU"/>
    </w:rPr>
  </w:style>
  <w:style w:type="paragraph" w:customStyle="1" w:styleId="BodyTextStyle10">
    <w:name w:val="Body Text Style 1"/>
    <w:basedOn w:val="BodyText"/>
    <w:rsid w:val="00DC4CF3"/>
    <w:pPr>
      <w:spacing w:after="120"/>
      <w:ind w:left="578"/>
    </w:pPr>
    <w:rPr>
      <w:rFonts w:eastAsia="Times New Roman" w:cs="Times New Roman"/>
      <w:sz w:val="24"/>
      <w:szCs w:val="24"/>
      <w:lang w:eastAsia="en-AU"/>
    </w:rPr>
  </w:style>
  <w:style w:type="paragraph" w:customStyle="1" w:styleId="ParaHdng">
    <w:name w:val="ParaHdng"/>
    <w:basedOn w:val="Normal"/>
    <w:rsid w:val="00BA21A4"/>
    <w:pPr>
      <w:spacing w:before="200" w:after="200"/>
    </w:pPr>
    <w:rPr>
      <w:rFonts w:eastAsia="Times New Roman" w:cs="Times New Roman"/>
      <w:b/>
      <w:bCs/>
      <w:caps/>
      <w:snapToGrid w:val="0"/>
      <w:sz w:val="26"/>
      <w:szCs w:val="26"/>
    </w:rPr>
  </w:style>
  <w:style w:type="paragraph" w:customStyle="1" w:styleId="TableHeading">
    <w:name w:val="Table Heading"/>
    <w:basedOn w:val="Normal"/>
    <w:rsid w:val="00BA21A4"/>
    <w:pPr>
      <w:spacing w:before="120" w:after="120"/>
    </w:pPr>
    <w:rPr>
      <w:rFonts w:eastAsia="Times New Roman" w:cs="Times New Roman"/>
      <w:b/>
      <w:bCs/>
      <w:snapToGrid w:val="0"/>
      <w:szCs w:val="20"/>
    </w:rPr>
  </w:style>
  <w:style w:type="paragraph" w:customStyle="1" w:styleId="TableTextCharChar">
    <w:name w:val="Table Text Char Char"/>
    <w:basedOn w:val="Normal"/>
    <w:link w:val="TableTextCharCharChar"/>
    <w:rsid w:val="00BA21A4"/>
    <w:pPr>
      <w:spacing w:before="120" w:after="120"/>
    </w:pPr>
    <w:rPr>
      <w:rFonts w:eastAsia="Times New Roman" w:cs="Times New Roman"/>
      <w:snapToGrid w:val="0"/>
      <w:sz w:val="22"/>
      <w:szCs w:val="24"/>
    </w:rPr>
  </w:style>
  <w:style w:type="character" w:customStyle="1" w:styleId="TableTextCharCharChar">
    <w:name w:val="Table Text Char Char Char"/>
    <w:link w:val="TableTextCharChar"/>
    <w:rsid w:val="00BA21A4"/>
    <w:rPr>
      <w:rFonts w:ascii="Arial" w:eastAsia="Times New Roman" w:hAnsi="Arial" w:cs="Times New Roman"/>
      <w:snapToGrid w:val="0"/>
      <w:szCs w:val="24"/>
    </w:rPr>
  </w:style>
  <w:style w:type="character" w:customStyle="1" w:styleId="UnresolvedMention1">
    <w:name w:val="Unresolved Mention1"/>
    <w:basedOn w:val="DefaultParagraphFont"/>
    <w:uiPriority w:val="99"/>
    <w:semiHidden/>
    <w:unhideWhenUsed/>
    <w:rsid w:val="0069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79482702">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544801379">
      <w:bodyDiv w:val="1"/>
      <w:marLeft w:val="0"/>
      <w:marRight w:val="0"/>
      <w:marTop w:val="0"/>
      <w:marBottom w:val="0"/>
      <w:divBdr>
        <w:top w:val="none" w:sz="0" w:space="0" w:color="auto"/>
        <w:left w:val="none" w:sz="0" w:space="0" w:color="auto"/>
        <w:bottom w:val="none" w:sz="0" w:space="0" w:color="auto"/>
        <w:right w:val="none" w:sz="0" w:space="0" w:color="auto"/>
      </w:divBdr>
      <w:divsChild>
        <w:div w:id="1324703178">
          <w:marLeft w:val="0"/>
          <w:marRight w:val="0"/>
          <w:marTop w:val="0"/>
          <w:marBottom w:val="0"/>
          <w:divBdr>
            <w:top w:val="none" w:sz="0" w:space="0" w:color="auto"/>
            <w:left w:val="none" w:sz="0" w:space="0" w:color="auto"/>
            <w:bottom w:val="none" w:sz="0" w:space="0" w:color="auto"/>
            <w:right w:val="none" w:sz="0" w:space="0" w:color="auto"/>
          </w:divBdr>
          <w:divsChild>
            <w:div w:id="864710629">
              <w:marLeft w:val="0"/>
              <w:marRight w:val="0"/>
              <w:marTop w:val="0"/>
              <w:marBottom w:val="0"/>
              <w:divBdr>
                <w:top w:val="none" w:sz="0" w:space="0" w:color="auto"/>
                <w:left w:val="none" w:sz="0" w:space="0" w:color="auto"/>
                <w:bottom w:val="none" w:sz="0" w:space="0" w:color="auto"/>
                <w:right w:val="none" w:sz="0" w:space="0" w:color="auto"/>
              </w:divBdr>
              <w:divsChild>
                <w:div w:id="309216315">
                  <w:marLeft w:val="0"/>
                  <w:marRight w:val="0"/>
                  <w:marTop w:val="0"/>
                  <w:marBottom w:val="0"/>
                  <w:divBdr>
                    <w:top w:val="none" w:sz="0" w:space="0" w:color="auto"/>
                    <w:left w:val="none" w:sz="0" w:space="0" w:color="auto"/>
                    <w:bottom w:val="none" w:sz="0" w:space="0" w:color="auto"/>
                    <w:right w:val="none" w:sz="0" w:space="0" w:color="auto"/>
                  </w:divBdr>
                  <w:divsChild>
                    <w:div w:id="757603217">
                      <w:marLeft w:val="-225"/>
                      <w:marRight w:val="-225"/>
                      <w:marTop w:val="0"/>
                      <w:marBottom w:val="0"/>
                      <w:divBdr>
                        <w:top w:val="none" w:sz="0" w:space="0" w:color="auto"/>
                        <w:left w:val="none" w:sz="0" w:space="0" w:color="auto"/>
                        <w:bottom w:val="none" w:sz="0" w:space="0" w:color="auto"/>
                        <w:right w:val="none" w:sz="0" w:space="0" w:color="auto"/>
                      </w:divBdr>
                      <w:divsChild>
                        <w:div w:id="1197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40241007">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69938470">
      <w:bodyDiv w:val="1"/>
      <w:marLeft w:val="0"/>
      <w:marRight w:val="0"/>
      <w:marTop w:val="0"/>
      <w:marBottom w:val="0"/>
      <w:divBdr>
        <w:top w:val="none" w:sz="0" w:space="0" w:color="auto"/>
        <w:left w:val="none" w:sz="0" w:space="0" w:color="auto"/>
        <w:bottom w:val="none" w:sz="0" w:space="0" w:color="auto"/>
        <w:right w:val="none" w:sz="0" w:space="0" w:color="auto"/>
      </w:divBdr>
      <w:divsChild>
        <w:div w:id="76363044">
          <w:marLeft w:val="0"/>
          <w:marRight w:val="0"/>
          <w:marTop w:val="0"/>
          <w:marBottom w:val="0"/>
          <w:divBdr>
            <w:top w:val="none" w:sz="0" w:space="0" w:color="auto"/>
            <w:left w:val="none" w:sz="0" w:space="0" w:color="auto"/>
            <w:bottom w:val="none" w:sz="0" w:space="0" w:color="auto"/>
            <w:right w:val="none" w:sz="0" w:space="0" w:color="auto"/>
          </w:divBdr>
          <w:divsChild>
            <w:div w:id="1222836831">
              <w:marLeft w:val="0"/>
              <w:marRight w:val="0"/>
              <w:marTop w:val="0"/>
              <w:marBottom w:val="0"/>
              <w:divBdr>
                <w:top w:val="none" w:sz="0" w:space="0" w:color="auto"/>
                <w:left w:val="none" w:sz="0" w:space="0" w:color="auto"/>
                <w:bottom w:val="none" w:sz="0" w:space="0" w:color="auto"/>
                <w:right w:val="none" w:sz="0" w:space="0" w:color="auto"/>
              </w:divBdr>
              <w:divsChild>
                <w:div w:id="1560508236">
                  <w:marLeft w:val="0"/>
                  <w:marRight w:val="0"/>
                  <w:marTop w:val="0"/>
                  <w:marBottom w:val="0"/>
                  <w:divBdr>
                    <w:top w:val="none" w:sz="0" w:space="0" w:color="auto"/>
                    <w:left w:val="none" w:sz="0" w:space="0" w:color="auto"/>
                    <w:bottom w:val="none" w:sz="0" w:space="0" w:color="auto"/>
                    <w:right w:val="none" w:sz="0" w:space="0" w:color="auto"/>
                  </w:divBdr>
                  <w:divsChild>
                    <w:div w:id="1827700303">
                      <w:marLeft w:val="0"/>
                      <w:marRight w:val="0"/>
                      <w:marTop w:val="0"/>
                      <w:marBottom w:val="0"/>
                      <w:divBdr>
                        <w:top w:val="none" w:sz="0" w:space="0" w:color="auto"/>
                        <w:left w:val="none" w:sz="0" w:space="0" w:color="auto"/>
                        <w:bottom w:val="none" w:sz="0" w:space="0" w:color="auto"/>
                        <w:right w:val="none" w:sz="0" w:space="0" w:color="auto"/>
                      </w:divBdr>
                      <w:divsChild>
                        <w:div w:id="14511283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172257769">
      <w:bodyDiv w:val="1"/>
      <w:marLeft w:val="0"/>
      <w:marRight w:val="0"/>
      <w:marTop w:val="0"/>
      <w:marBottom w:val="0"/>
      <w:divBdr>
        <w:top w:val="none" w:sz="0" w:space="0" w:color="auto"/>
        <w:left w:val="none" w:sz="0" w:space="0" w:color="auto"/>
        <w:bottom w:val="none" w:sz="0" w:space="0" w:color="auto"/>
        <w:right w:val="none" w:sz="0" w:space="0" w:color="auto"/>
      </w:divBdr>
      <w:divsChild>
        <w:div w:id="996955637">
          <w:marLeft w:val="0"/>
          <w:marRight w:val="0"/>
          <w:marTop w:val="0"/>
          <w:marBottom w:val="0"/>
          <w:divBdr>
            <w:top w:val="none" w:sz="0" w:space="0" w:color="auto"/>
            <w:left w:val="none" w:sz="0" w:space="0" w:color="auto"/>
            <w:bottom w:val="none" w:sz="0" w:space="0" w:color="auto"/>
            <w:right w:val="none" w:sz="0" w:space="0" w:color="auto"/>
          </w:divBdr>
          <w:divsChild>
            <w:div w:id="1460145111">
              <w:marLeft w:val="0"/>
              <w:marRight w:val="0"/>
              <w:marTop w:val="0"/>
              <w:marBottom w:val="0"/>
              <w:divBdr>
                <w:top w:val="none" w:sz="0" w:space="0" w:color="auto"/>
                <w:left w:val="none" w:sz="0" w:space="0" w:color="auto"/>
                <w:bottom w:val="none" w:sz="0" w:space="0" w:color="auto"/>
                <w:right w:val="none" w:sz="0" w:space="0" w:color="auto"/>
              </w:divBdr>
              <w:divsChild>
                <w:div w:id="590116875">
                  <w:marLeft w:val="0"/>
                  <w:marRight w:val="0"/>
                  <w:marTop w:val="0"/>
                  <w:marBottom w:val="0"/>
                  <w:divBdr>
                    <w:top w:val="none" w:sz="0" w:space="0" w:color="auto"/>
                    <w:left w:val="none" w:sz="0" w:space="0" w:color="auto"/>
                    <w:bottom w:val="none" w:sz="0" w:space="0" w:color="auto"/>
                    <w:right w:val="none" w:sz="0" w:space="0" w:color="auto"/>
                  </w:divBdr>
                  <w:divsChild>
                    <w:div w:id="456726564">
                      <w:marLeft w:val="0"/>
                      <w:marRight w:val="0"/>
                      <w:marTop w:val="0"/>
                      <w:marBottom w:val="0"/>
                      <w:divBdr>
                        <w:top w:val="none" w:sz="0" w:space="0" w:color="auto"/>
                        <w:left w:val="none" w:sz="0" w:space="0" w:color="auto"/>
                        <w:bottom w:val="none" w:sz="0" w:space="0" w:color="auto"/>
                        <w:right w:val="none" w:sz="0" w:space="0" w:color="auto"/>
                      </w:divBdr>
                      <w:divsChild>
                        <w:div w:id="9717857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89429">
      <w:bodyDiv w:val="1"/>
      <w:marLeft w:val="0"/>
      <w:marRight w:val="0"/>
      <w:marTop w:val="0"/>
      <w:marBottom w:val="0"/>
      <w:divBdr>
        <w:top w:val="none" w:sz="0" w:space="0" w:color="auto"/>
        <w:left w:val="none" w:sz="0" w:space="0" w:color="auto"/>
        <w:bottom w:val="none" w:sz="0" w:space="0" w:color="auto"/>
        <w:right w:val="none" w:sz="0" w:space="0" w:color="auto"/>
      </w:divBdr>
      <w:divsChild>
        <w:div w:id="291861070">
          <w:marLeft w:val="0"/>
          <w:marRight w:val="0"/>
          <w:marTop w:val="0"/>
          <w:marBottom w:val="0"/>
          <w:divBdr>
            <w:top w:val="none" w:sz="0" w:space="0" w:color="auto"/>
            <w:left w:val="none" w:sz="0" w:space="0" w:color="auto"/>
            <w:bottom w:val="none" w:sz="0" w:space="0" w:color="auto"/>
            <w:right w:val="none" w:sz="0" w:space="0" w:color="auto"/>
          </w:divBdr>
          <w:divsChild>
            <w:div w:id="1989897731">
              <w:marLeft w:val="0"/>
              <w:marRight w:val="0"/>
              <w:marTop w:val="0"/>
              <w:marBottom w:val="0"/>
              <w:divBdr>
                <w:top w:val="none" w:sz="0" w:space="0" w:color="auto"/>
                <w:left w:val="none" w:sz="0" w:space="0" w:color="auto"/>
                <w:bottom w:val="none" w:sz="0" w:space="0" w:color="auto"/>
                <w:right w:val="none" w:sz="0" w:space="0" w:color="auto"/>
              </w:divBdr>
              <w:divsChild>
                <w:div w:id="1446776559">
                  <w:marLeft w:val="0"/>
                  <w:marRight w:val="0"/>
                  <w:marTop w:val="0"/>
                  <w:marBottom w:val="0"/>
                  <w:divBdr>
                    <w:top w:val="none" w:sz="0" w:space="0" w:color="auto"/>
                    <w:left w:val="none" w:sz="0" w:space="0" w:color="auto"/>
                    <w:bottom w:val="none" w:sz="0" w:space="0" w:color="auto"/>
                    <w:right w:val="none" w:sz="0" w:space="0" w:color="auto"/>
                  </w:divBdr>
                  <w:divsChild>
                    <w:div w:id="1624842541">
                      <w:marLeft w:val="0"/>
                      <w:marRight w:val="0"/>
                      <w:marTop w:val="0"/>
                      <w:marBottom w:val="0"/>
                      <w:divBdr>
                        <w:top w:val="none" w:sz="0" w:space="0" w:color="auto"/>
                        <w:left w:val="none" w:sz="0" w:space="0" w:color="auto"/>
                        <w:bottom w:val="none" w:sz="0" w:space="0" w:color="auto"/>
                        <w:right w:val="none" w:sz="0" w:space="0" w:color="auto"/>
                      </w:divBdr>
                      <w:divsChild>
                        <w:div w:id="3580902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55362613">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11076950">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052920563">
      <w:bodyDiv w:val="1"/>
      <w:marLeft w:val="0"/>
      <w:marRight w:val="0"/>
      <w:marTop w:val="0"/>
      <w:marBottom w:val="0"/>
      <w:divBdr>
        <w:top w:val="none" w:sz="0" w:space="0" w:color="auto"/>
        <w:left w:val="none" w:sz="0" w:space="0" w:color="auto"/>
        <w:bottom w:val="none" w:sz="0" w:space="0" w:color="auto"/>
        <w:right w:val="none" w:sz="0" w:space="0" w:color="auto"/>
      </w:divBdr>
      <w:divsChild>
        <w:div w:id="1410420761">
          <w:marLeft w:val="0"/>
          <w:marRight w:val="0"/>
          <w:marTop w:val="0"/>
          <w:marBottom w:val="0"/>
          <w:divBdr>
            <w:top w:val="none" w:sz="0" w:space="0" w:color="auto"/>
            <w:left w:val="none" w:sz="0" w:space="0" w:color="auto"/>
            <w:bottom w:val="none" w:sz="0" w:space="0" w:color="auto"/>
            <w:right w:val="none" w:sz="0" w:space="0" w:color="auto"/>
          </w:divBdr>
          <w:divsChild>
            <w:div w:id="1531140968">
              <w:marLeft w:val="0"/>
              <w:marRight w:val="0"/>
              <w:marTop w:val="0"/>
              <w:marBottom w:val="0"/>
              <w:divBdr>
                <w:top w:val="none" w:sz="0" w:space="0" w:color="auto"/>
                <w:left w:val="none" w:sz="0" w:space="0" w:color="auto"/>
                <w:bottom w:val="none" w:sz="0" w:space="0" w:color="auto"/>
                <w:right w:val="none" w:sz="0" w:space="0" w:color="auto"/>
              </w:divBdr>
              <w:divsChild>
                <w:div w:id="1122532273">
                  <w:marLeft w:val="0"/>
                  <w:marRight w:val="0"/>
                  <w:marTop w:val="0"/>
                  <w:marBottom w:val="0"/>
                  <w:divBdr>
                    <w:top w:val="none" w:sz="0" w:space="0" w:color="auto"/>
                    <w:left w:val="none" w:sz="0" w:space="0" w:color="auto"/>
                    <w:bottom w:val="none" w:sz="0" w:space="0" w:color="auto"/>
                    <w:right w:val="none" w:sz="0" w:space="0" w:color="auto"/>
                  </w:divBdr>
                  <w:divsChild>
                    <w:div w:id="398753219">
                      <w:marLeft w:val="0"/>
                      <w:marRight w:val="0"/>
                      <w:marTop w:val="0"/>
                      <w:marBottom w:val="0"/>
                      <w:divBdr>
                        <w:top w:val="none" w:sz="0" w:space="0" w:color="auto"/>
                        <w:left w:val="none" w:sz="0" w:space="0" w:color="auto"/>
                        <w:bottom w:val="none" w:sz="0" w:space="0" w:color="auto"/>
                        <w:right w:val="none" w:sz="0" w:space="0" w:color="auto"/>
                      </w:divBdr>
                      <w:divsChild>
                        <w:div w:id="18945378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mq.edu.au/download.php?id=123&amp;version=1&amp;associa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ernance.uwa.edu.au/committees/academic-coun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435F50517BD4CA30EB055836FA06D" ma:contentTypeVersion="6" ma:contentTypeDescription="Create a new document." ma:contentTypeScope="" ma:versionID="5b5d11ea953a515f30034c3d6c29314e">
  <xsd:schema xmlns:xsd="http://www.w3.org/2001/XMLSchema" xmlns:xs="http://www.w3.org/2001/XMLSchema" xmlns:p="http://schemas.microsoft.com/office/2006/metadata/properties" xmlns:ns2="b635be00-a295-4020-a589-1c3f7625ed31" xmlns:ns3="90c640f7-ec7c-4c91-baf1-30e4c0fa9334" targetNamespace="http://schemas.microsoft.com/office/2006/metadata/properties" ma:root="true" ma:fieldsID="4b3714e0746798958256363ec9e7a73c" ns2:_="" ns3:_="">
    <xsd:import namespace="b635be00-a295-4020-a589-1c3f7625ed31"/>
    <xsd:import namespace="90c640f7-ec7c-4c91-baf1-30e4c0fa93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5be00-a295-4020-a589-1c3f7625e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640f7-ec7c-4c91-baf1-30e4c0fa93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11AA-A1E7-4D92-9C83-55348F2A1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5be00-a295-4020-a589-1c3f7625ed31"/>
    <ds:schemaRef ds:uri="90c640f7-ec7c-4c91-baf1-30e4c0fa9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F6ED-B172-4497-B5D3-1077862A4676}">
  <ds:schemaRefs>
    <ds:schemaRef ds:uri="http://schemas.microsoft.com/sharepoint/v3/contenttype/forms"/>
  </ds:schemaRefs>
</ds:datastoreItem>
</file>

<file path=customXml/itemProps3.xml><?xml version="1.0" encoding="utf-8"?>
<ds:datastoreItem xmlns:ds="http://schemas.openxmlformats.org/officeDocument/2006/customXml" ds:itemID="{B356DD67-0B7D-4280-8FEF-382431D83C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8E5EC-A387-46A1-8738-BF1FE363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3206</Words>
  <Characters>18278</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2019-05-20T05:30:00Z</cp:lastPrinted>
  <dcterms:created xsi:type="dcterms:W3CDTF">2022-04-28T02:26:00Z</dcterms:created>
  <dcterms:modified xsi:type="dcterms:W3CDTF">2022-04-28T02:26:00Z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0x010100373435F50517BD4CA30EB055836FA06D</vt:lpwstr>
  </property>
</Properties>
</file>