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52" w:rsidRPr="006F2852" w:rsidRDefault="006F2852" w:rsidP="006F2852">
      <w:pPr>
        <w:spacing w:after="0"/>
        <w:rPr>
          <w:rStyle w:val="jsgrdq"/>
          <w:b/>
          <w:bCs/>
          <w:color w:val="26401D"/>
          <w:sz w:val="24"/>
          <w:szCs w:val="24"/>
        </w:rPr>
      </w:pPr>
      <w:bookmarkStart w:id="0" w:name="_GoBack"/>
      <w:bookmarkEnd w:id="0"/>
      <w:r w:rsidRPr="006F2852">
        <w:rPr>
          <w:rStyle w:val="jsgrdq"/>
          <w:b/>
          <w:bCs/>
          <w:color w:val="26401D"/>
          <w:sz w:val="24"/>
          <w:szCs w:val="24"/>
        </w:rPr>
        <w:t>WHAT IS THE VIRTUAL PLANT CELL?</w:t>
      </w:r>
    </w:p>
    <w:p w:rsidR="006F2852" w:rsidRPr="00DB7EE9" w:rsidRDefault="00EA7AD3" w:rsidP="00DB7EE9">
      <w:pPr>
        <w:pStyle w:val="04xlpa"/>
        <w:spacing w:before="0" w:beforeAutospacing="0" w:after="0" w:afterAutospacing="0"/>
        <w:jc w:val="both"/>
        <w:rPr>
          <w:rFonts w:asciiTheme="minorHAnsi" w:hAnsiTheme="minorHAnsi"/>
          <w:color w:val="000000"/>
          <w:spacing w:val="14"/>
          <w:sz w:val="18"/>
          <w:szCs w:val="18"/>
        </w:rPr>
      </w:pPr>
      <w:hyperlink r:id="rId7" w:anchor="0" w:tgtFrame="_blank" w:history="1">
        <w:r w:rsidR="006F2852" w:rsidRPr="00DB7EE9">
          <w:rPr>
            <w:rStyle w:val="Hyperlink"/>
            <w:rFonts w:asciiTheme="minorHAnsi" w:hAnsiTheme="minorHAnsi"/>
            <w:color w:val="000000"/>
            <w:spacing w:val="14"/>
            <w:sz w:val="18"/>
            <w:szCs w:val="18"/>
            <w:u w:val="none"/>
          </w:rPr>
          <w:t xml:space="preserve">The </w:t>
        </w:r>
      </w:hyperlink>
      <w:hyperlink r:id="rId8" w:anchor="0" w:tgtFrame="_blank" w:history="1">
        <w:r w:rsidR="006F2852" w:rsidRPr="00DB7EE9">
          <w:rPr>
            <w:rStyle w:val="Hyperlink"/>
            <w:rFonts w:asciiTheme="minorHAnsi" w:hAnsiTheme="minorHAnsi"/>
            <w:b/>
            <w:bCs/>
            <w:color w:val="000000"/>
            <w:spacing w:val="14"/>
            <w:sz w:val="18"/>
            <w:szCs w:val="18"/>
            <w:u w:val="none"/>
          </w:rPr>
          <w:t>ARC Centre of Excellence in Plant Energy Biology</w:t>
        </w:r>
      </w:hyperlink>
      <w:hyperlink r:id="rId9" w:anchor="0" w:tgtFrame="_blank" w:history="1">
        <w:r w:rsidR="006F2852" w:rsidRPr="00DB7EE9">
          <w:rPr>
            <w:rStyle w:val="Hyperlink"/>
            <w:rFonts w:asciiTheme="minorHAnsi" w:hAnsiTheme="minorHAnsi"/>
            <w:color w:val="000000"/>
            <w:spacing w:val="14"/>
            <w:sz w:val="18"/>
            <w:szCs w:val="18"/>
            <w:u w:val="none"/>
          </w:rPr>
          <w:t xml:space="preserve"> (PEB) is a world leading, not-for-profit Australian plant research Centre. We focus on improving plants for productivity in changing environments to strengthen agriculture and our future food security. Our Education and Outreach program aims to create greater awareness of the importance of plants and better understanding of plant research. </w:t>
        </w:r>
      </w:hyperlink>
      <w:hyperlink r:id="rId10" w:anchor="0" w:tgtFrame="_blank" w:history="1">
        <w:r w:rsidR="006F2852" w:rsidRPr="00DB7EE9">
          <w:rPr>
            <w:rStyle w:val="Hyperlink"/>
            <w:rFonts w:asciiTheme="minorHAnsi" w:hAnsiTheme="minorHAnsi"/>
            <w:b/>
            <w:bCs/>
            <w:color w:val="000000"/>
            <w:spacing w:val="14"/>
            <w:sz w:val="18"/>
            <w:szCs w:val="18"/>
            <w:u w:val="none"/>
          </w:rPr>
          <w:t>Virtual Plant Cell (VPC)</w:t>
        </w:r>
      </w:hyperlink>
      <w:hyperlink r:id="rId11" w:anchor="0" w:tgtFrame="_blank" w:history="1">
        <w:r w:rsidR="006F2852" w:rsidRPr="00DB7EE9">
          <w:rPr>
            <w:rStyle w:val="Hyperlink"/>
            <w:rFonts w:asciiTheme="minorHAnsi" w:hAnsiTheme="minorHAnsi"/>
            <w:color w:val="000000"/>
            <w:spacing w:val="14"/>
            <w:sz w:val="18"/>
            <w:szCs w:val="18"/>
            <w:u w:val="none"/>
          </w:rPr>
          <w:t xml:space="preserve"> is our ground-breaking suite of free, immersive, educational virtual reality resources that connect students with plant science and its application to real world challenges in an innovative, engaging and effective way. VPC presents curriculum-aligned science topics and links these to real world examples of STEM research and innovation. Learn more about VPC's educational value </w:t>
        </w:r>
      </w:hyperlink>
      <w:hyperlink r:id="rId12" w:anchor="0" w:history="1">
        <w:r w:rsidR="006F2852" w:rsidRPr="00DB7EE9">
          <w:rPr>
            <w:rStyle w:val="Hyperlink"/>
            <w:rFonts w:asciiTheme="minorHAnsi" w:hAnsiTheme="minorHAnsi"/>
            <w:b/>
            <w:bCs/>
            <w:spacing w:val="14"/>
            <w:sz w:val="18"/>
            <w:szCs w:val="18"/>
          </w:rPr>
          <w:t>here</w:t>
        </w:r>
      </w:hyperlink>
      <w:hyperlink r:id="rId13" w:anchor="0" w:tgtFrame="_blank" w:history="1">
        <w:r w:rsidR="006F2852" w:rsidRPr="00DB7EE9">
          <w:rPr>
            <w:rStyle w:val="Hyperlink"/>
            <w:rFonts w:asciiTheme="minorHAnsi" w:hAnsiTheme="minorHAnsi"/>
            <w:color w:val="000000"/>
            <w:spacing w:val="14"/>
            <w:sz w:val="18"/>
            <w:szCs w:val="18"/>
            <w:u w:val="none"/>
          </w:rPr>
          <w:t>.</w:t>
        </w:r>
      </w:hyperlink>
    </w:p>
    <w:p w:rsidR="006F2852" w:rsidRPr="00DB7EE9" w:rsidRDefault="006F2852" w:rsidP="00DB7EE9">
      <w:pPr>
        <w:pStyle w:val="04xlpa"/>
        <w:spacing w:before="0" w:beforeAutospacing="0" w:after="0" w:afterAutospacing="0"/>
        <w:jc w:val="both"/>
        <w:rPr>
          <w:rFonts w:asciiTheme="minorHAnsi" w:hAnsiTheme="minorHAnsi"/>
          <w:color w:val="000000"/>
          <w:spacing w:val="14"/>
          <w:sz w:val="18"/>
          <w:szCs w:val="18"/>
        </w:rPr>
      </w:pPr>
    </w:p>
    <w:p w:rsidR="006F2852" w:rsidRPr="00DB7EE9" w:rsidRDefault="003C29C5" w:rsidP="00DB7EE9">
      <w:pPr>
        <w:pStyle w:val="04xlpa"/>
        <w:spacing w:before="0" w:beforeAutospacing="0" w:after="0" w:afterAutospacing="0"/>
        <w:jc w:val="both"/>
        <w:rPr>
          <w:rFonts w:asciiTheme="minorHAnsi" w:hAnsiTheme="minorHAnsi"/>
          <w:color w:val="000000"/>
          <w:spacing w:val="14"/>
          <w:sz w:val="16"/>
          <w:szCs w:val="16"/>
        </w:rPr>
      </w:pPr>
      <w:hyperlink r:id="rId14" w:anchor="0" w:tgtFrame="_blank" w:history="1">
        <w:r w:rsidR="006F2852" w:rsidRPr="00DB7EE9">
          <w:rPr>
            <w:rStyle w:val="Hyperlink"/>
            <w:rFonts w:asciiTheme="minorHAnsi" w:hAnsiTheme="minorHAnsi"/>
            <w:color w:val="000000"/>
            <w:spacing w:val="14"/>
            <w:sz w:val="16"/>
            <w:szCs w:val="16"/>
            <w:u w:val="none"/>
          </w:rPr>
          <w:t>PEB performs its research and education/outreach activities out of four collaborating universities: The University of Western Australia; Australian National University; The University of Adelaide; and La Trobe University.</w:t>
        </w:r>
      </w:hyperlink>
    </w:p>
    <w:p w:rsidR="006F2852" w:rsidRPr="006F2852" w:rsidRDefault="006F2852" w:rsidP="006F2852">
      <w:pPr>
        <w:pStyle w:val="04xlpa"/>
        <w:spacing w:before="0" w:beforeAutospacing="0" w:after="0" w:afterAutospacing="0"/>
        <w:rPr>
          <w:rFonts w:asciiTheme="minorHAnsi" w:hAnsiTheme="minorHAnsi"/>
          <w:color w:val="000000"/>
          <w:spacing w:val="14"/>
          <w:sz w:val="20"/>
          <w:szCs w:val="20"/>
        </w:rPr>
      </w:pPr>
    </w:p>
    <w:tbl>
      <w:tblPr>
        <w:tblStyle w:val="TableGrid"/>
        <w:tblW w:w="0" w:type="auto"/>
        <w:tblLook w:val="04A0" w:firstRow="1" w:lastRow="0" w:firstColumn="1" w:lastColumn="0" w:noHBand="0" w:noVBand="1"/>
      </w:tblPr>
      <w:tblGrid>
        <w:gridCol w:w="9016"/>
      </w:tblGrid>
      <w:tr w:rsidR="006F2852" w:rsidRPr="006F2852" w:rsidTr="0066016A">
        <w:tc>
          <w:tcPr>
            <w:tcW w:w="9016" w:type="dxa"/>
            <w:shd w:val="clear" w:color="auto" w:fill="C5E0B3" w:themeFill="accent6" w:themeFillTint="66"/>
          </w:tcPr>
          <w:p w:rsidR="006F2852" w:rsidRPr="006F2852" w:rsidRDefault="006F2852" w:rsidP="006F2852">
            <w:pPr>
              <w:rPr>
                <w:rStyle w:val="Emphasis"/>
                <w:i w:val="0"/>
                <w:color w:val="222222"/>
                <w:sz w:val="20"/>
                <w:szCs w:val="20"/>
              </w:rPr>
            </w:pPr>
            <w:r w:rsidRPr="006F2852">
              <w:rPr>
                <w:rStyle w:val="Emphasis"/>
                <w:i w:val="0"/>
                <w:color w:val="222222"/>
                <w:sz w:val="20"/>
                <w:szCs w:val="20"/>
              </w:rPr>
              <w:t>All of our free resources can be downloaded at:</w:t>
            </w:r>
          </w:p>
          <w:p w:rsidR="006F2852" w:rsidRPr="0066016A" w:rsidRDefault="003C29C5" w:rsidP="0066016A">
            <w:pPr>
              <w:jc w:val="center"/>
              <w:rPr>
                <w:i/>
                <w:iCs/>
                <w:color w:val="222222"/>
                <w:sz w:val="32"/>
                <w:szCs w:val="32"/>
              </w:rPr>
            </w:pPr>
            <w:hyperlink r:id="rId15" w:history="1">
              <w:r w:rsidR="006F2852" w:rsidRPr="006F2852">
                <w:rPr>
                  <w:rStyle w:val="Hyperlink"/>
                  <w:sz w:val="32"/>
                  <w:szCs w:val="32"/>
                </w:rPr>
                <w:t>www.plantenergy.edu.au/outreach/resources</w:t>
              </w:r>
            </w:hyperlink>
          </w:p>
        </w:tc>
      </w:tr>
    </w:tbl>
    <w:p w:rsidR="006F2852" w:rsidRDefault="006F2852" w:rsidP="006F2852">
      <w:pPr>
        <w:spacing w:after="0"/>
        <w:rPr>
          <w:sz w:val="20"/>
          <w:szCs w:val="20"/>
        </w:rPr>
      </w:pPr>
    </w:p>
    <w:p w:rsidR="006F2852" w:rsidRPr="006F2852" w:rsidRDefault="006F2852" w:rsidP="006F2852">
      <w:pPr>
        <w:spacing w:after="0"/>
        <w:rPr>
          <w:b/>
          <w:sz w:val="20"/>
          <w:szCs w:val="20"/>
        </w:rPr>
      </w:pPr>
      <w:r w:rsidRPr="006F2852">
        <w:rPr>
          <w:b/>
          <w:sz w:val="20"/>
          <w:szCs w:val="20"/>
        </w:rPr>
        <w:t>Resource overview:</w:t>
      </w:r>
    </w:p>
    <w:tbl>
      <w:tblPr>
        <w:tblStyle w:val="TableGrid"/>
        <w:tblW w:w="0" w:type="auto"/>
        <w:tblLook w:val="04A0" w:firstRow="1" w:lastRow="0" w:firstColumn="1" w:lastColumn="0" w:noHBand="0" w:noVBand="1"/>
      </w:tblPr>
      <w:tblGrid>
        <w:gridCol w:w="9016"/>
      </w:tblGrid>
      <w:tr w:rsidR="006F2852" w:rsidRPr="006F2852" w:rsidTr="006F2852">
        <w:tc>
          <w:tcPr>
            <w:tcW w:w="9016" w:type="dxa"/>
          </w:tcPr>
          <w:p w:rsidR="006F2852" w:rsidRPr="006F2852" w:rsidRDefault="003C29C5" w:rsidP="006F2852">
            <w:pPr>
              <w:rPr>
                <w:rStyle w:val="jsgrdq"/>
                <w:b/>
                <w:bCs/>
                <w:color w:val="26401D"/>
                <w:sz w:val="24"/>
                <w:szCs w:val="24"/>
              </w:rPr>
            </w:pPr>
            <w:hyperlink r:id="rId16" w:history="1">
              <w:r w:rsidR="006F2852" w:rsidRPr="00DB7EE9">
                <w:rPr>
                  <w:rStyle w:val="Hyperlink"/>
                  <w:b/>
                  <w:bCs/>
                  <w:sz w:val="24"/>
                  <w:szCs w:val="24"/>
                </w:rPr>
                <w:t>VIRTUAL PLANT CELL: CELL EXPLORE</w:t>
              </w:r>
            </w:hyperlink>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i/>
                <w:iCs/>
                <w:color w:val="000000"/>
                <w:sz w:val="18"/>
                <w:szCs w:val="18"/>
                <w:lang w:eastAsia="en-AU"/>
              </w:rPr>
              <w:t>Virtual Plant Cell: Cell Explore</w:t>
            </w:r>
            <w:r w:rsidRPr="00DB7EE9">
              <w:rPr>
                <w:rFonts w:eastAsia="Times New Roman" w:cs="Times New Roman"/>
                <w:color w:val="000000"/>
                <w:sz w:val="18"/>
                <w:szCs w:val="18"/>
                <w:lang w:eastAsia="en-AU"/>
              </w:rPr>
              <w:t xml:space="preserve"> takes students through the sub-microscopic inner world of a plant so that they can learn about the key organelles and structures that make up plant cells. </w:t>
            </w:r>
          </w:p>
          <w:p w:rsidR="006F2852" w:rsidRPr="006F2852" w:rsidRDefault="006F2852" w:rsidP="006F2852">
            <w:pPr>
              <w:rPr>
                <w:rFonts w:eastAsia="Times New Roman" w:cs="Times New Roman"/>
                <w:color w:val="000000"/>
                <w:sz w:val="18"/>
                <w:szCs w:val="18"/>
                <w:lang w:eastAsia="en-AU"/>
              </w:rPr>
            </w:pPr>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Addresses topics including:</w:t>
            </w:r>
            <w:r w:rsidRPr="00DB7EE9">
              <w:rPr>
                <w:rFonts w:eastAsia="Times New Roman" w:cs="Times New Roman"/>
                <w:color w:val="000000"/>
                <w:sz w:val="18"/>
                <w:szCs w:val="18"/>
                <w:lang w:eastAsia="en-AU"/>
              </w:rPr>
              <w:t xml:space="preserve"> Plant cell biology; structure of cell organelles and membranes; function of cell organelles and membranes; photosynthesis; energy production and usage in plant cells; plant and cell rigidity.</w:t>
            </w:r>
          </w:p>
          <w:p w:rsidR="006F2852" w:rsidRPr="006F2852" w:rsidRDefault="006F2852" w:rsidP="006F2852">
            <w:pPr>
              <w:rPr>
                <w:rFonts w:eastAsia="Times New Roman" w:cs="Times New Roman"/>
                <w:color w:val="000000"/>
                <w:sz w:val="18"/>
                <w:szCs w:val="18"/>
                <w:lang w:eastAsia="en-AU"/>
              </w:rPr>
            </w:pPr>
          </w:p>
          <w:p w:rsidR="006F2852" w:rsidRPr="006F2852"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Resource package includes:</w:t>
            </w:r>
          </w:p>
          <w:p w:rsidR="006F2852" w:rsidRPr="00DB7EE9" w:rsidRDefault="006F2852" w:rsidP="006F2852">
            <w:pPr>
              <w:pStyle w:val="ListParagraph"/>
              <w:numPr>
                <w:ilvl w:val="0"/>
                <w:numId w:val="1"/>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VPC: Cell Explore 360° video</w:t>
            </w:r>
          </w:p>
          <w:p w:rsidR="006F2852" w:rsidRPr="00DB7EE9" w:rsidRDefault="006F2852" w:rsidP="006F2852">
            <w:pPr>
              <w:pStyle w:val="ListParagraph"/>
              <w:numPr>
                <w:ilvl w:val="0"/>
                <w:numId w:val="1"/>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Cell Explore, Resource Overview </w:t>
            </w:r>
          </w:p>
          <w:p w:rsidR="006F2852" w:rsidRPr="00DB7EE9" w:rsidRDefault="006F2852" w:rsidP="006F2852">
            <w:pPr>
              <w:pStyle w:val="ListParagraph"/>
              <w:numPr>
                <w:ilvl w:val="0"/>
                <w:numId w:val="1"/>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Cell Explore Teacher's Guide </w:t>
            </w:r>
          </w:p>
          <w:p w:rsidR="006F2852" w:rsidRPr="00DB7EE9" w:rsidRDefault="006F2852" w:rsidP="006F2852">
            <w:pPr>
              <w:pStyle w:val="ListParagraph"/>
              <w:numPr>
                <w:ilvl w:val="0"/>
                <w:numId w:val="1"/>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Cell Explore Student Worksheet </w:t>
            </w:r>
          </w:p>
          <w:p w:rsidR="006F2852" w:rsidRPr="00DB7EE9" w:rsidRDefault="006F2852" w:rsidP="006F2852">
            <w:pPr>
              <w:pStyle w:val="ListParagraph"/>
              <w:numPr>
                <w:ilvl w:val="0"/>
                <w:numId w:val="1"/>
              </w:numPr>
              <w:rPr>
                <w:rFonts w:eastAsia="Times New Roman" w:cs="Times New Roman"/>
                <w:sz w:val="18"/>
                <w:szCs w:val="18"/>
                <w:lang w:eastAsia="en-AU"/>
              </w:rPr>
            </w:pPr>
            <w:r w:rsidRPr="00DB7EE9">
              <w:rPr>
                <w:rFonts w:eastAsia="Times New Roman" w:cs="Times New Roman"/>
                <w:color w:val="000000"/>
                <w:sz w:val="18"/>
                <w:szCs w:val="18"/>
                <w:lang w:eastAsia="en-AU"/>
              </w:rPr>
              <w:t xml:space="preserve">Onion Cell Preparation Activity </w:t>
            </w:r>
          </w:p>
          <w:p w:rsidR="006F2852" w:rsidRPr="00DB7EE9" w:rsidRDefault="006F2852" w:rsidP="006F2852">
            <w:pPr>
              <w:ind w:left="1080"/>
              <w:rPr>
                <w:rFonts w:eastAsia="Times New Roman" w:cs="Times New Roman"/>
                <w:sz w:val="18"/>
                <w:szCs w:val="18"/>
                <w:lang w:eastAsia="en-AU"/>
              </w:rPr>
            </w:pPr>
          </w:p>
          <w:p w:rsidR="006F2852" w:rsidRPr="006F2852" w:rsidRDefault="006F2852" w:rsidP="006F2852">
            <w:pPr>
              <w:rPr>
                <w:rFonts w:eastAsia="Times New Roman" w:cs="Times New Roman"/>
                <w:color w:val="000000"/>
                <w:sz w:val="20"/>
                <w:szCs w:val="20"/>
                <w:lang w:eastAsia="en-AU"/>
              </w:rPr>
            </w:pPr>
            <w:r w:rsidRPr="00DB7EE9">
              <w:rPr>
                <w:rFonts w:eastAsia="Times New Roman" w:cs="Times New Roman"/>
                <w:b/>
                <w:bCs/>
                <w:color w:val="000000"/>
                <w:sz w:val="18"/>
                <w:szCs w:val="18"/>
                <w:lang w:eastAsia="en-AU"/>
              </w:rPr>
              <w:t>Curriculum alignments:</w:t>
            </w:r>
            <w:r w:rsidRPr="00DB7EE9">
              <w:rPr>
                <w:rFonts w:eastAsia="Times New Roman" w:cs="Times New Roman"/>
                <w:color w:val="000000"/>
                <w:sz w:val="18"/>
                <w:szCs w:val="18"/>
                <w:lang w:eastAsia="en-AU"/>
              </w:rPr>
              <w:t xml:space="preserve"> Senior Secondary Curriculum: Biology: Unit 2: Science Understanding: ACSBL044, ACSBL045, ACSBL049, ACSBL050, ACSBL052, ACSBL053. Lower school curriculum: Biological sciences: Science Understanding: Year 8: ACSSU149, ACSSU150.</w:t>
            </w:r>
          </w:p>
        </w:tc>
      </w:tr>
    </w:tbl>
    <w:p w:rsidR="006F2852" w:rsidRPr="006F2852" w:rsidRDefault="006F2852" w:rsidP="006F2852">
      <w:pPr>
        <w:spacing w:after="0"/>
        <w:rPr>
          <w:sz w:val="20"/>
          <w:szCs w:val="20"/>
        </w:rPr>
      </w:pPr>
    </w:p>
    <w:tbl>
      <w:tblPr>
        <w:tblStyle w:val="TableGrid"/>
        <w:tblW w:w="0" w:type="auto"/>
        <w:tblLook w:val="04A0" w:firstRow="1" w:lastRow="0" w:firstColumn="1" w:lastColumn="0" w:noHBand="0" w:noVBand="1"/>
      </w:tblPr>
      <w:tblGrid>
        <w:gridCol w:w="9016"/>
      </w:tblGrid>
      <w:tr w:rsidR="006F2852" w:rsidRPr="006F2852" w:rsidTr="006F2852">
        <w:tc>
          <w:tcPr>
            <w:tcW w:w="9016" w:type="dxa"/>
          </w:tcPr>
          <w:p w:rsidR="006F2852" w:rsidRPr="006F2852" w:rsidRDefault="003C29C5" w:rsidP="006F2852">
            <w:pPr>
              <w:rPr>
                <w:rStyle w:val="jsgrdq"/>
                <w:b/>
                <w:bCs/>
                <w:color w:val="26401D"/>
                <w:sz w:val="24"/>
                <w:szCs w:val="24"/>
              </w:rPr>
            </w:pPr>
            <w:hyperlink r:id="rId17" w:history="1">
              <w:r w:rsidR="006F2852" w:rsidRPr="00DB7EE9">
                <w:rPr>
                  <w:rStyle w:val="Hyperlink"/>
                  <w:b/>
                  <w:bCs/>
                  <w:sz w:val="24"/>
                  <w:szCs w:val="24"/>
                </w:rPr>
                <w:t>VIRTUAL PLANT CELL: DROUGHT PROOF</w:t>
              </w:r>
            </w:hyperlink>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i/>
                <w:iCs/>
                <w:color w:val="000000"/>
                <w:sz w:val="18"/>
                <w:szCs w:val="18"/>
                <w:lang w:eastAsia="en-AU"/>
              </w:rPr>
              <w:t>Virtual Plant Cell: Drought Proof</w:t>
            </w:r>
            <w:r w:rsidRPr="00DB7EE9">
              <w:rPr>
                <w:rFonts w:eastAsia="Times New Roman" w:cs="Times New Roman"/>
                <w:color w:val="000000"/>
                <w:sz w:val="18"/>
                <w:szCs w:val="18"/>
                <w:lang w:eastAsia="en-AU"/>
              </w:rPr>
              <w:t xml:space="preserve"> showcases an Australian research effort to address the challenge of improving plant growth under drought conditions. </w:t>
            </w:r>
          </w:p>
          <w:p w:rsidR="006F2852" w:rsidRPr="006F2852" w:rsidRDefault="006F2852" w:rsidP="006F2852">
            <w:pPr>
              <w:rPr>
                <w:rFonts w:eastAsia="Times New Roman" w:cs="Times New Roman"/>
                <w:color w:val="000000"/>
                <w:sz w:val="18"/>
                <w:szCs w:val="18"/>
                <w:lang w:eastAsia="en-AU"/>
              </w:rPr>
            </w:pPr>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Addresses topics including:</w:t>
            </w:r>
            <w:r w:rsidRPr="00DB7EE9">
              <w:rPr>
                <w:rFonts w:eastAsia="Times New Roman" w:cs="Times New Roman"/>
                <w:color w:val="000000"/>
                <w:sz w:val="18"/>
                <w:szCs w:val="18"/>
                <w:lang w:eastAsia="en-AU"/>
              </w:rPr>
              <w:t xml:space="preserve"> Organisms and the environment; adapting to stress; plants; drought, water and sunlight; plant cell biology; cell signalling; feedback loops; transcription and translation; photosynthesis; and food security.</w:t>
            </w:r>
          </w:p>
          <w:p w:rsidR="006F2852" w:rsidRPr="006F2852" w:rsidRDefault="006F2852" w:rsidP="006F2852">
            <w:pPr>
              <w:rPr>
                <w:rFonts w:eastAsia="Times New Roman" w:cs="Times New Roman"/>
                <w:color w:val="000000"/>
                <w:sz w:val="18"/>
                <w:szCs w:val="18"/>
                <w:lang w:eastAsia="en-AU"/>
              </w:rPr>
            </w:pPr>
          </w:p>
          <w:p w:rsidR="006F2852" w:rsidRPr="006F2852"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 xml:space="preserve">Resource package includes: </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VPC: Drought Proof 360° video</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Drought Proof, Resource Overview </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VPC: Drought Proof, video transcript</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Research story: Lending Plants a Hand to Survive Drought</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Stomata peel activity</w:t>
            </w:r>
          </w:p>
          <w:p w:rsidR="006F2852" w:rsidRPr="00DB7EE9" w:rsidRDefault="006F2852" w:rsidP="006F2852">
            <w:pPr>
              <w:pStyle w:val="ListParagraph"/>
              <w:numPr>
                <w:ilvl w:val="0"/>
                <w:numId w:val="2"/>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DNA Extraction activity </w:t>
            </w:r>
          </w:p>
          <w:p w:rsidR="006F2852" w:rsidRPr="006F2852" w:rsidRDefault="006F2852" w:rsidP="006F2852">
            <w:pPr>
              <w:ind w:left="720"/>
              <w:rPr>
                <w:rFonts w:eastAsia="Times New Roman" w:cs="Times New Roman"/>
                <w:sz w:val="18"/>
                <w:szCs w:val="18"/>
                <w:lang w:eastAsia="en-AU"/>
              </w:rPr>
            </w:pPr>
          </w:p>
          <w:p w:rsidR="006F2852" w:rsidRPr="006F2852" w:rsidRDefault="006F2852" w:rsidP="006F2852">
            <w:pPr>
              <w:rPr>
                <w:rFonts w:eastAsia="Times New Roman" w:cs="Times New Roman"/>
                <w:color w:val="000000"/>
                <w:sz w:val="20"/>
                <w:szCs w:val="20"/>
                <w:lang w:eastAsia="en-AU"/>
              </w:rPr>
            </w:pPr>
            <w:r w:rsidRPr="00DB7EE9">
              <w:rPr>
                <w:rFonts w:eastAsia="Times New Roman" w:cs="Times New Roman"/>
                <w:b/>
                <w:bCs/>
                <w:color w:val="000000"/>
                <w:sz w:val="18"/>
                <w:szCs w:val="18"/>
                <w:lang w:eastAsia="en-AU"/>
              </w:rPr>
              <w:t>Curriculum alignments:</w:t>
            </w:r>
            <w:r w:rsidRPr="00DB7EE9">
              <w:rPr>
                <w:rFonts w:eastAsia="Times New Roman" w:cs="Times New Roman"/>
                <w:color w:val="000000"/>
                <w:sz w:val="18"/>
                <w:szCs w:val="18"/>
                <w:lang w:eastAsia="en-AU"/>
              </w:rPr>
              <w:t xml:space="preserve"> Senior Secondary Curriculum: Biology: Unit 2: Science Understanding: ACSBL044, ACSBL049, ACSBL050, ACSBL051, ACSBL052. Science as a Human Endeavour: ACSBL038, ACSBL039, ACSBL040, ACSBL043. Biology: Unit 4: Science Understanding: ACSBL115. Lower school curriculum: Biological sciences, Science Understanding: Year 9: ACSSU175. Year 8: ACSSU149, ACSSU150. Year 6: ACSSU094. Science as a Human Endeavour: Year 8: ACSHE134, ACSHE136.</w:t>
            </w:r>
          </w:p>
        </w:tc>
      </w:tr>
    </w:tbl>
    <w:p w:rsidR="006F2852" w:rsidRPr="006F2852" w:rsidRDefault="006F2852" w:rsidP="006F2852">
      <w:pPr>
        <w:spacing w:after="0"/>
        <w:rPr>
          <w:sz w:val="20"/>
          <w:szCs w:val="20"/>
        </w:rPr>
      </w:pPr>
    </w:p>
    <w:tbl>
      <w:tblPr>
        <w:tblStyle w:val="TableGrid"/>
        <w:tblW w:w="0" w:type="auto"/>
        <w:tblLook w:val="04A0" w:firstRow="1" w:lastRow="0" w:firstColumn="1" w:lastColumn="0" w:noHBand="0" w:noVBand="1"/>
      </w:tblPr>
      <w:tblGrid>
        <w:gridCol w:w="9016"/>
      </w:tblGrid>
      <w:tr w:rsidR="006F2852" w:rsidRPr="006F2852" w:rsidTr="006F2852">
        <w:tc>
          <w:tcPr>
            <w:tcW w:w="9016" w:type="dxa"/>
          </w:tcPr>
          <w:p w:rsidR="006F2852" w:rsidRPr="006F2852" w:rsidRDefault="003C29C5" w:rsidP="006F2852">
            <w:pPr>
              <w:rPr>
                <w:rStyle w:val="jsgrdq"/>
                <w:b/>
                <w:bCs/>
                <w:color w:val="26401D"/>
                <w:sz w:val="24"/>
                <w:szCs w:val="24"/>
              </w:rPr>
            </w:pPr>
            <w:hyperlink r:id="rId18" w:history="1">
              <w:r w:rsidR="006F2852" w:rsidRPr="00DB7EE9">
                <w:rPr>
                  <w:rStyle w:val="Hyperlink"/>
                  <w:b/>
                  <w:bCs/>
                  <w:sz w:val="24"/>
                  <w:szCs w:val="24"/>
                </w:rPr>
                <w:t>VIRTUAL PLANT CELL: INTO AQUAPORINS</w:t>
              </w:r>
            </w:hyperlink>
          </w:p>
          <w:p w:rsidR="006F2852" w:rsidRPr="00DB7EE9" w:rsidRDefault="006F2852" w:rsidP="006F2852">
            <w:pPr>
              <w:rPr>
                <w:rFonts w:eastAsia="Times New Roman" w:cs="Times New Roman"/>
                <w:color w:val="000000"/>
                <w:spacing w:val="14"/>
                <w:sz w:val="18"/>
                <w:szCs w:val="18"/>
                <w:lang w:eastAsia="en-AU"/>
              </w:rPr>
            </w:pPr>
            <w:r w:rsidRPr="00DB7EE9">
              <w:rPr>
                <w:rFonts w:eastAsia="Times New Roman" w:cs="Times New Roman"/>
                <w:i/>
                <w:iCs/>
                <w:color w:val="000000"/>
                <w:spacing w:val="14"/>
                <w:sz w:val="18"/>
                <w:szCs w:val="18"/>
                <w:lang w:eastAsia="en-AU"/>
              </w:rPr>
              <w:t xml:space="preserve">Virtual Plant Cell: Into </w:t>
            </w:r>
            <w:proofErr w:type="spellStart"/>
            <w:r w:rsidRPr="00DB7EE9">
              <w:rPr>
                <w:rFonts w:eastAsia="Times New Roman" w:cs="Times New Roman"/>
                <w:i/>
                <w:iCs/>
                <w:color w:val="000000"/>
                <w:spacing w:val="14"/>
                <w:sz w:val="18"/>
                <w:szCs w:val="18"/>
                <w:lang w:eastAsia="en-AU"/>
              </w:rPr>
              <w:t>Aquaporins</w:t>
            </w:r>
            <w:proofErr w:type="spellEnd"/>
            <w:r w:rsidRPr="00DB7EE9">
              <w:rPr>
                <w:rFonts w:eastAsia="Times New Roman" w:cs="Times New Roman"/>
                <w:color w:val="000000"/>
                <w:spacing w:val="14"/>
                <w:sz w:val="18"/>
                <w:szCs w:val="18"/>
                <w:lang w:eastAsia="en-AU"/>
              </w:rPr>
              <w:t xml:space="preserve"> highlights the important role that aquaporin proteins play in shuttling water, carbon dioxide and other molecules vital to good plant health, into and out of plant cells. </w:t>
            </w:r>
          </w:p>
          <w:p w:rsidR="006F2852" w:rsidRPr="006F2852" w:rsidRDefault="006F2852" w:rsidP="006F2852">
            <w:pPr>
              <w:rPr>
                <w:rFonts w:eastAsia="Times New Roman" w:cs="Times New Roman"/>
                <w:color w:val="000000"/>
                <w:spacing w:val="14"/>
                <w:sz w:val="18"/>
                <w:szCs w:val="18"/>
                <w:lang w:eastAsia="en-AU"/>
              </w:rPr>
            </w:pPr>
          </w:p>
          <w:p w:rsidR="006F2852" w:rsidRPr="00DB7EE9" w:rsidRDefault="006F2852" w:rsidP="006F2852">
            <w:pPr>
              <w:rPr>
                <w:rFonts w:eastAsia="Times New Roman" w:cs="Times New Roman"/>
                <w:color w:val="000000"/>
                <w:spacing w:val="14"/>
                <w:sz w:val="18"/>
                <w:szCs w:val="18"/>
                <w:lang w:eastAsia="en-AU"/>
              </w:rPr>
            </w:pPr>
            <w:r w:rsidRPr="00DB7EE9">
              <w:rPr>
                <w:rFonts w:eastAsia="Times New Roman" w:cs="Times New Roman"/>
                <w:b/>
                <w:bCs/>
                <w:color w:val="000000"/>
                <w:spacing w:val="14"/>
                <w:sz w:val="18"/>
                <w:szCs w:val="18"/>
                <w:lang w:eastAsia="en-AU"/>
              </w:rPr>
              <w:t xml:space="preserve">Addresses topics including: </w:t>
            </w:r>
            <w:r w:rsidRPr="00DB7EE9">
              <w:rPr>
                <w:rFonts w:eastAsia="Times New Roman" w:cs="Times New Roman"/>
                <w:color w:val="000000"/>
                <w:spacing w:val="14"/>
                <w:sz w:val="18"/>
                <w:szCs w:val="18"/>
                <w:lang w:eastAsia="en-AU"/>
              </w:rPr>
              <w:t xml:space="preserve">Plant cell biology; proteins and their functions; protein structure; diffusion across membranes; function of membranes; transcription; translation; photosynthesis; energy production in plant cells; and food security. </w:t>
            </w:r>
          </w:p>
          <w:p w:rsidR="006F2852" w:rsidRPr="006F2852" w:rsidRDefault="006F2852" w:rsidP="006F2852">
            <w:pPr>
              <w:rPr>
                <w:rFonts w:eastAsia="Times New Roman" w:cs="Times New Roman"/>
                <w:color w:val="000000"/>
                <w:spacing w:val="14"/>
                <w:sz w:val="18"/>
                <w:szCs w:val="18"/>
                <w:lang w:eastAsia="en-AU"/>
              </w:rPr>
            </w:pPr>
          </w:p>
          <w:p w:rsidR="006F2852" w:rsidRPr="006F2852" w:rsidRDefault="006F2852" w:rsidP="006F2852">
            <w:pPr>
              <w:rPr>
                <w:rFonts w:eastAsia="Times New Roman" w:cs="Times New Roman"/>
                <w:color w:val="000000"/>
                <w:spacing w:val="14"/>
                <w:sz w:val="18"/>
                <w:szCs w:val="18"/>
                <w:lang w:eastAsia="en-AU"/>
              </w:rPr>
            </w:pPr>
            <w:r w:rsidRPr="00DB7EE9">
              <w:rPr>
                <w:rFonts w:eastAsia="Times New Roman" w:cs="Times New Roman"/>
                <w:b/>
                <w:bCs/>
                <w:color w:val="000000"/>
                <w:spacing w:val="14"/>
                <w:sz w:val="18"/>
                <w:szCs w:val="18"/>
                <w:lang w:eastAsia="en-AU"/>
              </w:rPr>
              <w:t xml:space="preserve">Resource package includes: </w:t>
            </w:r>
          </w:p>
          <w:p w:rsidR="006F2852" w:rsidRPr="00DB7EE9" w:rsidRDefault="006F2852" w:rsidP="006F2852">
            <w:pPr>
              <w:pStyle w:val="ListParagraph"/>
              <w:numPr>
                <w:ilvl w:val="0"/>
                <w:numId w:val="3"/>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Into </w:t>
            </w:r>
            <w:proofErr w:type="spellStart"/>
            <w:r w:rsidRPr="00DB7EE9">
              <w:rPr>
                <w:rFonts w:eastAsia="Times New Roman" w:cs="Times New Roman"/>
                <w:color w:val="000000"/>
                <w:sz w:val="18"/>
                <w:szCs w:val="18"/>
                <w:lang w:eastAsia="en-AU"/>
              </w:rPr>
              <w:t>Aquaporins</w:t>
            </w:r>
            <w:proofErr w:type="spellEnd"/>
            <w:r w:rsidRPr="00DB7EE9">
              <w:rPr>
                <w:rFonts w:eastAsia="Times New Roman" w:cs="Times New Roman"/>
                <w:color w:val="000000"/>
                <w:sz w:val="18"/>
                <w:szCs w:val="18"/>
                <w:lang w:eastAsia="en-AU"/>
              </w:rPr>
              <w:t xml:space="preserve"> 360° video</w:t>
            </w:r>
          </w:p>
          <w:p w:rsidR="006F2852" w:rsidRPr="00DB7EE9" w:rsidRDefault="006F2852" w:rsidP="006F2852">
            <w:pPr>
              <w:pStyle w:val="ListParagraph"/>
              <w:numPr>
                <w:ilvl w:val="0"/>
                <w:numId w:val="3"/>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VPC: Into </w:t>
            </w:r>
            <w:proofErr w:type="spellStart"/>
            <w:r w:rsidRPr="00DB7EE9">
              <w:rPr>
                <w:rFonts w:eastAsia="Times New Roman" w:cs="Times New Roman"/>
                <w:color w:val="000000"/>
                <w:sz w:val="18"/>
                <w:szCs w:val="18"/>
                <w:lang w:eastAsia="en-AU"/>
              </w:rPr>
              <w:t>Aquaporins</w:t>
            </w:r>
            <w:proofErr w:type="spellEnd"/>
            <w:r w:rsidRPr="00DB7EE9">
              <w:rPr>
                <w:rFonts w:eastAsia="Times New Roman" w:cs="Times New Roman"/>
                <w:color w:val="000000"/>
                <w:sz w:val="18"/>
                <w:szCs w:val="18"/>
                <w:lang w:eastAsia="en-AU"/>
              </w:rPr>
              <w:t xml:space="preserve"> Teacher Guide </w:t>
            </w:r>
          </w:p>
          <w:p w:rsidR="006F2852" w:rsidRPr="00DB7EE9" w:rsidRDefault="006F2852" w:rsidP="006F2852">
            <w:pPr>
              <w:pStyle w:val="ListParagraph"/>
              <w:numPr>
                <w:ilvl w:val="0"/>
                <w:numId w:val="3"/>
              </w:numPr>
              <w:rPr>
                <w:rFonts w:eastAsia="Times New Roman" w:cs="Times New Roman"/>
                <w:sz w:val="18"/>
                <w:szCs w:val="18"/>
                <w:lang w:eastAsia="en-AU"/>
              </w:rPr>
            </w:pPr>
            <w:r w:rsidRPr="00DB7EE9">
              <w:rPr>
                <w:rFonts w:eastAsia="Times New Roman" w:cs="Times New Roman"/>
                <w:color w:val="000000"/>
                <w:sz w:val="18"/>
                <w:szCs w:val="18"/>
                <w:lang w:eastAsia="en-AU"/>
              </w:rPr>
              <w:t xml:space="preserve">VPC: Into </w:t>
            </w:r>
            <w:proofErr w:type="spellStart"/>
            <w:r w:rsidRPr="00DB7EE9">
              <w:rPr>
                <w:rFonts w:eastAsia="Times New Roman" w:cs="Times New Roman"/>
                <w:color w:val="000000"/>
                <w:sz w:val="18"/>
                <w:szCs w:val="18"/>
                <w:lang w:eastAsia="en-AU"/>
              </w:rPr>
              <w:t>Aquaporins</w:t>
            </w:r>
            <w:proofErr w:type="spellEnd"/>
            <w:r w:rsidRPr="00DB7EE9">
              <w:rPr>
                <w:rFonts w:eastAsia="Times New Roman" w:cs="Times New Roman"/>
                <w:color w:val="000000"/>
                <w:sz w:val="18"/>
                <w:szCs w:val="18"/>
                <w:lang w:eastAsia="en-AU"/>
              </w:rPr>
              <w:t>, video transcript</w:t>
            </w:r>
          </w:p>
          <w:p w:rsidR="006F2852" w:rsidRPr="00DB7EE9" w:rsidRDefault="006F2852" w:rsidP="006F2852">
            <w:pPr>
              <w:pStyle w:val="ListParagraph"/>
              <w:numPr>
                <w:ilvl w:val="0"/>
                <w:numId w:val="3"/>
              </w:numPr>
              <w:rPr>
                <w:rFonts w:eastAsia="Times New Roman" w:cs="Times New Roman"/>
                <w:sz w:val="18"/>
                <w:szCs w:val="18"/>
                <w:lang w:eastAsia="en-AU"/>
              </w:rPr>
            </w:pPr>
          </w:p>
          <w:p w:rsidR="006F2852" w:rsidRPr="006F2852" w:rsidRDefault="006F2852" w:rsidP="006F2852">
            <w:pPr>
              <w:rPr>
                <w:rFonts w:eastAsia="Times New Roman" w:cs="Times New Roman"/>
                <w:color w:val="000000"/>
                <w:spacing w:val="14"/>
                <w:sz w:val="20"/>
                <w:szCs w:val="20"/>
                <w:lang w:eastAsia="en-AU"/>
              </w:rPr>
            </w:pPr>
            <w:r w:rsidRPr="00DB7EE9">
              <w:rPr>
                <w:rFonts w:eastAsia="Times New Roman" w:cs="Times New Roman"/>
                <w:color w:val="000000"/>
                <w:spacing w:val="14"/>
                <w:sz w:val="18"/>
                <w:szCs w:val="18"/>
                <w:lang w:eastAsia="en-AU"/>
              </w:rPr>
              <w:t xml:space="preserve">The </w:t>
            </w:r>
            <w:r w:rsidRPr="00DB7EE9">
              <w:rPr>
                <w:rFonts w:eastAsia="Times New Roman" w:cs="Times New Roman"/>
                <w:i/>
                <w:iCs/>
                <w:color w:val="000000"/>
                <w:spacing w:val="14"/>
                <w:sz w:val="18"/>
                <w:szCs w:val="18"/>
                <w:lang w:eastAsia="en-AU"/>
              </w:rPr>
              <w:t xml:space="preserve">VPC: Into </w:t>
            </w:r>
            <w:proofErr w:type="spellStart"/>
            <w:r w:rsidRPr="00DB7EE9">
              <w:rPr>
                <w:rFonts w:eastAsia="Times New Roman" w:cs="Times New Roman"/>
                <w:i/>
                <w:iCs/>
                <w:color w:val="000000"/>
                <w:spacing w:val="14"/>
                <w:sz w:val="18"/>
                <w:szCs w:val="18"/>
                <w:lang w:eastAsia="en-AU"/>
              </w:rPr>
              <w:t>Aquaporins</w:t>
            </w:r>
            <w:proofErr w:type="spellEnd"/>
            <w:r w:rsidRPr="00DB7EE9">
              <w:rPr>
                <w:rFonts w:eastAsia="Times New Roman" w:cs="Times New Roman"/>
                <w:color w:val="000000"/>
                <w:spacing w:val="14"/>
                <w:sz w:val="18"/>
                <w:szCs w:val="18"/>
                <w:lang w:eastAsia="en-AU"/>
              </w:rPr>
              <w:t xml:space="preserve"> video supports the </w:t>
            </w:r>
            <w:r w:rsidRPr="00DB7EE9">
              <w:rPr>
                <w:rFonts w:eastAsia="Times New Roman" w:cs="Times New Roman"/>
                <w:b/>
                <w:bCs/>
                <w:color w:val="000000"/>
                <w:spacing w:val="14"/>
                <w:sz w:val="18"/>
                <w:szCs w:val="18"/>
                <w:lang w:eastAsia="en-AU"/>
              </w:rPr>
              <w:t>Planting Science: Classifying Systems in Cells</w:t>
            </w:r>
            <w:r w:rsidRPr="00DB7EE9">
              <w:rPr>
                <w:rFonts w:eastAsia="Times New Roman" w:cs="Times New Roman"/>
                <w:color w:val="000000"/>
                <w:spacing w:val="14"/>
                <w:sz w:val="18"/>
                <w:szCs w:val="18"/>
                <w:lang w:eastAsia="en-AU"/>
              </w:rPr>
              <w:t xml:space="preserve"> lesson plan developed by the ARC Centre of Excellence for Translational Photosynthesis. </w:t>
            </w:r>
            <w:r w:rsidRPr="00DB7EE9">
              <w:rPr>
                <w:rFonts w:eastAsia="Times New Roman" w:cs="Times New Roman"/>
                <w:i/>
                <w:iCs/>
                <w:color w:val="000000"/>
                <w:spacing w:val="14"/>
                <w:sz w:val="18"/>
                <w:szCs w:val="18"/>
                <w:lang w:eastAsia="en-AU"/>
              </w:rPr>
              <w:t>Please refer to this lesson plan for curriculum alignments.</w:t>
            </w:r>
          </w:p>
        </w:tc>
      </w:tr>
    </w:tbl>
    <w:p w:rsidR="006F2852" w:rsidRPr="006F2852" w:rsidRDefault="006F2852" w:rsidP="006F2852">
      <w:pPr>
        <w:spacing w:after="0"/>
        <w:rPr>
          <w:sz w:val="20"/>
          <w:szCs w:val="20"/>
        </w:rPr>
      </w:pPr>
    </w:p>
    <w:tbl>
      <w:tblPr>
        <w:tblStyle w:val="TableGrid"/>
        <w:tblW w:w="0" w:type="auto"/>
        <w:tblLook w:val="04A0" w:firstRow="1" w:lastRow="0" w:firstColumn="1" w:lastColumn="0" w:noHBand="0" w:noVBand="1"/>
      </w:tblPr>
      <w:tblGrid>
        <w:gridCol w:w="9016"/>
      </w:tblGrid>
      <w:tr w:rsidR="006F2852" w:rsidRPr="006F2852" w:rsidTr="006F2852">
        <w:tc>
          <w:tcPr>
            <w:tcW w:w="9016" w:type="dxa"/>
          </w:tcPr>
          <w:p w:rsidR="006F2852" w:rsidRPr="006F2852" w:rsidRDefault="003C29C5" w:rsidP="006F2852">
            <w:pPr>
              <w:rPr>
                <w:rStyle w:val="jsgrdq"/>
                <w:b/>
                <w:bCs/>
                <w:color w:val="26401D"/>
                <w:sz w:val="24"/>
                <w:szCs w:val="24"/>
              </w:rPr>
            </w:pPr>
            <w:hyperlink r:id="rId19" w:history="1">
              <w:r w:rsidR="006F2852" w:rsidRPr="00DB7EE9">
                <w:rPr>
                  <w:rStyle w:val="Hyperlink"/>
                  <w:b/>
                  <w:bCs/>
                  <w:sz w:val="24"/>
                  <w:szCs w:val="24"/>
                </w:rPr>
                <w:t>VIRTUAL PLANT CELL: PHOSPHATE FOCUS</w:t>
              </w:r>
            </w:hyperlink>
          </w:p>
          <w:p w:rsidR="006F2852" w:rsidRPr="00DB7EE9" w:rsidRDefault="006F2852" w:rsidP="006F2852">
            <w:pPr>
              <w:pStyle w:val="04xlpa"/>
              <w:spacing w:before="0" w:beforeAutospacing="0" w:after="0" w:afterAutospacing="0"/>
              <w:rPr>
                <w:rStyle w:val="jsgrdq"/>
                <w:rFonts w:asciiTheme="minorHAnsi" w:hAnsiTheme="minorHAnsi"/>
                <w:color w:val="000000"/>
                <w:sz w:val="18"/>
                <w:szCs w:val="18"/>
              </w:rPr>
            </w:pPr>
            <w:r w:rsidRPr="00DB7EE9">
              <w:rPr>
                <w:rStyle w:val="Emphasis"/>
                <w:rFonts w:asciiTheme="minorHAnsi" w:hAnsiTheme="minorHAnsi"/>
                <w:color w:val="000000"/>
                <w:sz w:val="18"/>
                <w:szCs w:val="18"/>
              </w:rPr>
              <w:t>Virtual Plant Cell: Phosphate Focus</w:t>
            </w:r>
            <w:r w:rsidRPr="00DB7EE9">
              <w:rPr>
                <w:rStyle w:val="jsgrdq"/>
                <w:rFonts w:asciiTheme="minorHAnsi" w:hAnsiTheme="minorHAnsi"/>
                <w:color w:val="000000"/>
                <w:sz w:val="18"/>
                <w:szCs w:val="18"/>
              </w:rPr>
              <w:t xml:space="preserve"> highlights the importance of phosphate to plants, and showcases the ways research can help to improve plant phosphate use for agriculture. </w:t>
            </w:r>
          </w:p>
          <w:p w:rsidR="006F2852" w:rsidRPr="00DB7EE9" w:rsidRDefault="006F2852" w:rsidP="006F2852">
            <w:pPr>
              <w:pStyle w:val="04xlpa"/>
              <w:spacing w:before="0" w:beforeAutospacing="0" w:after="0" w:afterAutospacing="0"/>
              <w:rPr>
                <w:rFonts w:asciiTheme="minorHAnsi" w:hAnsiTheme="minorHAnsi"/>
                <w:color w:val="000000"/>
                <w:sz w:val="18"/>
                <w:szCs w:val="18"/>
              </w:rPr>
            </w:pPr>
          </w:p>
          <w:p w:rsidR="006F2852" w:rsidRPr="00DB7EE9" w:rsidRDefault="006F2852" w:rsidP="006F2852">
            <w:pPr>
              <w:pStyle w:val="04xlpa"/>
              <w:spacing w:before="0" w:beforeAutospacing="0" w:after="0" w:afterAutospacing="0"/>
              <w:rPr>
                <w:rStyle w:val="jsgrdq"/>
                <w:rFonts w:asciiTheme="minorHAnsi" w:hAnsiTheme="minorHAnsi"/>
                <w:color w:val="000000"/>
                <w:sz w:val="18"/>
                <w:szCs w:val="18"/>
              </w:rPr>
            </w:pPr>
            <w:r w:rsidRPr="00DB7EE9">
              <w:rPr>
                <w:rStyle w:val="jsgrdq"/>
                <w:rFonts w:asciiTheme="minorHAnsi" w:hAnsiTheme="minorHAnsi"/>
                <w:b/>
                <w:bCs/>
                <w:color w:val="000000"/>
                <w:sz w:val="18"/>
                <w:szCs w:val="18"/>
              </w:rPr>
              <w:t xml:space="preserve">Addresses topics including: </w:t>
            </w:r>
            <w:r w:rsidRPr="00DB7EE9">
              <w:rPr>
                <w:rStyle w:val="jsgrdq"/>
                <w:rFonts w:asciiTheme="minorHAnsi" w:hAnsiTheme="minorHAnsi"/>
                <w:color w:val="000000"/>
                <w:sz w:val="18"/>
                <w:szCs w:val="18"/>
              </w:rPr>
              <w:t>Basic plant cell biology; nutrient and energy requirements of cells; organisms and their environments; adaptations to environments; and food security challenges.</w:t>
            </w:r>
          </w:p>
          <w:p w:rsidR="006F2852" w:rsidRPr="00DB7EE9" w:rsidRDefault="006F2852" w:rsidP="006F2852">
            <w:pPr>
              <w:pStyle w:val="04xlpa"/>
              <w:spacing w:before="0" w:beforeAutospacing="0" w:after="0" w:afterAutospacing="0"/>
              <w:rPr>
                <w:rFonts w:asciiTheme="minorHAnsi" w:hAnsiTheme="minorHAnsi"/>
                <w:color w:val="000000"/>
                <w:sz w:val="18"/>
                <w:szCs w:val="18"/>
              </w:rPr>
            </w:pPr>
          </w:p>
          <w:p w:rsidR="006F2852" w:rsidRPr="006F2852" w:rsidRDefault="006F2852" w:rsidP="006F2852">
            <w:pPr>
              <w:pStyle w:val="04xlpa"/>
              <w:spacing w:before="0" w:beforeAutospacing="0" w:after="0" w:afterAutospacing="0"/>
              <w:rPr>
                <w:rFonts w:asciiTheme="minorHAnsi" w:hAnsiTheme="minorHAnsi"/>
                <w:color w:val="000000"/>
                <w:spacing w:val="14"/>
                <w:sz w:val="20"/>
                <w:szCs w:val="20"/>
              </w:rPr>
            </w:pPr>
            <w:r w:rsidRPr="00DB7EE9">
              <w:rPr>
                <w:rStyle w:val="jsgrdq"/>
                <w:rFonts w:asciiTheme="minorHAnsi" w:hAnsiTheme="minorHAnsi"/>
                <w:b/>
                <w:bCs/>
                <w:color w:val="000000"/>
                <w:spacing w:val="14"/>
                <w:sz w:val="18"/>
                <w:szCs w:val="18"/>
              </w:rPr>
              <w:t xml:space="preserve">Curriculum alignments: </w:t>
            </w:r>
            <w:r w:rsidRPr="00DB7EE9">
              <w:rPr>
                <w:rStyle w:val="jsgrdq"/>
                <w:rFonts w:asciiTheme="minorHAnsi" w:hAnsiTheme="minorHAnsi"/>
                <w:color w:val="000000"/>
                <w:spacing w:val="14"/>
                <w:sz w:val="18"/>
                <w:szCs w:val="18"/>
              </w:rPr>
              <w:t>Senior Secondary Curriculum: Biology: Unit 2: Science Understanding: ACSBL044, ACSBL049, ACSBL050. Science as a Human Endeavour: ACSBL038, ACSBL039, ACSBL040, ACSBL043. Lower school curriculum: Biological sciences, Year 8, Science Understanding: ACSSU149, ACSSU150. Science as a Human Endeavour: ACSHE134, ACSHE136.</w:t>
            </w:r>
            <w:r w:rsidRPr="006F2852">
              <w:rPr>
                <w:rStyle w:val="jsgrdq"/>
                <w:rFonts w:asciiTheme="minorHAnsi" w:hAnsiTheme="minorHAnsi"/>
                <w:color w:val="000000"/>
                <w:spacing w:val="14"/>
                <w:sz w:val="20"/>
                <w:szCs w:val="20"/>
              </w:rPr>
              <w:t xml:space="preserve"> </w:t>
            </w:r>
          </w:p>
        </w:tc>
      </w:tr>
    </w:tbl>
    <w:p w:rsidR="006F2852" w:rsidRPr="006F2852" w:rsidRDefault="006F2852" w:rsidP="006F2852">
      <w:pPr>
        <w:spacing w:after="0"/>
        <w:rPr>
          <w:sz w:val="20"/>
          <w:szCs w:val="20"/>
        </w:rPr>
      </w:pPr>
    </w:p>
    <w:tbl>
      <w:tblPr>
        <w:tblStyle w:val="TableGrid"/>
        <w:tblW w:w="0" w:type="auto"/>
        <w:tblLook w:val="04A0" w:firstRow="1" w:lastRow="0" w:firstColumn="1" w:lastColumn="0" w:noHBand="0" w:noVBand="1"/>
      </w:tblPr>
      <w:tblGrid>
        <w:gridCol w:w="9016"/>
      </w:tblGrid>
      <w:tr w:rsidR="006F2852" w:rsidRPr="006F2852" w:rsidTr="006F2852">
        <w:tc>
          <w:tcPr>
            <w:tcW w:w="9016" w:type="dxa"/>
          </w:tcPr>
          <w:p w:rsidR="006F2852" w:rsidRPr="006F2852" w:rsidRDefault="003C29C5" w:rsidP="006F2852">
            <w:pPr>
              <w:rPr>
                <w:rStyle w:val="jsgrdq"/>
                <w:b/>
                <w:bCs/>
                <w:color w:val="26401D"/>
                <w:sz w:val="24"/>
                <w:szCs w:val="24"/>
              </w:rPr>
            </w:pPr>
            <w:hyperlink r:id="rId20" w:history="1">
              <w:r w:rsidR="006F2852" w:rsidRPr="00DB7EE9">
                <w:rPr>
                  <w:rStyle w:val="Hyperlink"/>
                  <w:b/>
                  <w:bCs/>
                  <w:sz w:val="24"/>
                  <w:szCs w:val="24"/>
                </w:rPr>
                <w:t>VIRTUAL PLANT CELL: CLASSROOM VPC</w:t>
              </w:r>
            </w:hyperlink>
          </w:p>
          <w:p w:rsidR="006F2852" w:rsidRDefault="006F2852" w:rsidP="006F2852">
            <w:pPr>
              <w:rPr>
                <w:rFonts w:eastAsia="Times New Roman" w:cs="Times New Roman"/>
                <w:b/>
                <w:bCs/>
                <w:color w:val="000000"/>
                <w:sz w:val="20"/>
                <w:szCs w:val="20"/>
                <w:lang w:eastAsia="en-AU"/>
              </w:rPr>
            </w:pPr>
            <w:r w:rsidRPr="006F2852">
              <w:rPr>
                <w:rFonts w:eastAsia="Times New Roman" w:cs="Times New Roman"/>
                <w:b/>
                <w:bCs/>
                <w:color w:val="000000"/>
                <w:sz w:val="20"/>
                <w:szCs w:val="20"/>
                <w:lang w:eastAsia="en-AU"/>
              </w:rPr>
              <w:t xml:space="preserve">Interactive VR experience – Oculus Rift </w:t>
            </w:r>
          </w:p>
          <w:p w:rsidR="006F2852" w:rsidRPr="006F2852" w:rsidRDefault="006F2852" w:rsidP="006F2852">
            <w:pPr>
              <w:rPr>
                <w:rFonts w:eastAsia="Times New Roman" w:cs="Times New Roman"/>
                <w:color w:val="000000"/>
                <w:sz w:val="20"/>
                <w:szCs w:val="20"/>
                <w:lang w:eastAsia="en-AU"/>
              </w:rPr>
            </w:pPr>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color w:val="000000"/>
                <w:sz w:val="18"/>
                <w:szCs w:val="18"/>
                <w:lang w:eastAsia="en-AU"/>
              </w:rPr>
              <w:t>Students explore, interact with and learn about the key organelles and structures found within a plant cell in this immersive, educational virtual reality experience.</w:t>
            </w:r>
          </w:p>
          <w:p w:rsidR="006F2852" w:rsidRPr="006F2852" w:rsidRDefault="006F2852" w:rsidP="006F2852">
            <w:pPr>
              <w:rPr>
                <w:rFonts w:eastAsia="Times New Roman" w:cs="Times New Roman"/>
                <w:color w:val="000000"/>
                <w:sz w:val="18"/>
                <w:szCs w:val="18"/>
                <w:lang w:eastAsia="en-AU"/>
              </w:rPr>
            </w:pPr>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 xml:space="preserve">Addresses topics including: </w:t>
            </w:r>
            <w:r w:rsidRPr="00DB7EE9">
              <w:rPr>
                <w:rFonts w:eastAsia="Times New Roman" w:cs="Times New Roman"/>
                <w:color w:val="000000"/>
                <w:sz w:val="18"/>
                <w:szCs w:val="18"/>
                <w:lang w:eastAsia="en-AU"/>
              </w:rPr>
              <w:t>Plant cell biology; structure of cell organelles and membranes; function of cell organelles and membranes; photosynthesis; energy production and usage in plant cells; plant and cell rigidity.</w:t>
            </w:r>
          </w:p>
          <w:p w:rsidR="006F2852" w:rsidRPr="006F2852" w:rsidRDefault="006F2852" w:rsidP="006F2852">
            <w:pPr>
              <w:rPr>
                <w:rFonts w:eastAsia="Times New Roman" w:cs="Times New Roman"/>
                <w:color w:val="000000"/>
                <w:sz w:val="18"/>
                <w:szCs w:val="18"/>
                <w:lang w:eastAsia="en-AU"/>
              </w:rPr>
            </w:pPr>
          </w:p>
          <w:p w:rsidR="006F2852" w:rsidRPr="00DB7EE9" w:rsidRDefault="006F2852" w:rsidP="006F2852">
            <w:pPr>
              <w:rPr>
                <w:rFonts w:eastAsia="Times New Roman" w:cs="Times New Roman"/>
                <w:color w:val="000000"/>
                <w:sz w:val="18"/>
                <w:szCs w:val="18"/>
                <w:lang w:eastAsia="en-AU"/>
              </w:rPr>
            </w:pPr>
            <w:r w:rsidRPr="00DB7EE9">
              <w:rPr>
                <w:rFonts w:eastAsia="Times New Roman" w:cs="Times New Roman"/>
                <w:i/>
                <w:iCs/>
                <w:color w:val="000000"/>
                <w:sz w:val="18"/>
                <w:szCs w:val="18"/>
                <w:lang w:eastAsia="en-AU"/>
              </w:rPr>
              <w:t>Virtual Plant Cell: Classroom VPC</w:t>
            </w:r>
            <w:r w:rsidRPr="00DB7EE9">
              <w:rPr>
                <w:rFonts w:eastAsia="Times New Roman" w:cs="Times New Roman"/>
                <w:color w:val="000000"/>
                <w:sz w:val="18"/>
                <w:szCs w:val="18"/>
                <w:lang w:eastAsia="en-AU"/>
              </w:rPr>
              <w:t xml:space="preserve"> is suited to teaching Cell Biology at a Year 8 Australian Science Curriculum level. It can also be enjoyed by lower or higher year groups. The experience is designed to run as a TWO STUDENT educational interactive i.e.; a single headset wearer and collaborating stand-alongside partner(s) or class.</w:t>
            </w:r>
          </w:p>
          <w:p w:rsidR="006F2852" w:rsidRPr="006F2852" w:rsidRDefault="006F2852" w:rsidP="006F2852">
            <w:pPr>
              <w:rPr>
                <w:rFonts w:eastAsia="Times New Roman" w:cs="Times New Roman"/>
                <w:color w:val="000000"/>
                <w:sz w:val="18"/>
                <w:szCs w:val="18"/>
                <w:lang w:eastAsia="en-AU"/>
              </w:rPr>
            </w:pPr>
          </w:p>
          <w:p w:rsidR="006F2852" w:rsidRPr="006F2852" w:rsidRDefault="006F2852" w:rsidP="006F2852">
            <w:pPr>
              <w:rPr>
                <w:rFonts w:eastAsia="Times New Roman" w:cs="Times New Roman"/>
                <w:color w:val="000000"/>
                <w:sz w:val="18"/>
                <w:szCs w:val="18"/>
                <w:lang w:eastAsia="en-AU"/>
              </w:rPr>
            </w:pPr>
            <w:r w:rsidRPr="00DB7EE9">
              <w:rPr>
                <w:rFonts w:eastAsia="Times New Roman" w:cs="Times New Roman"/>
                <w:b/>
                <w:bCs/>
                <w:color w:val="000000"/>
                <w:sz w:val="18"/>
                <w:szCs w:val="18"/>
                <w:lang w:eastAsia="en-AU"/>
              </w:rPr>
              <w:t>Resource includes:</w:t>
            </w:r>
          </w:p>
          <w:p w:rsidR="006F2852" w:rsidRPr="00DB7EE9" w:rsidRDefault="006F2852" w:rsidP="00DB7EE9">
            <w:pPr>
              <w:pStyle w:val="ListParagraph"/>
              <w:numPr>
                <w:ilvl w:val="0"/>
                <w:numId w:val="4"/>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Virtual Plant Cell: Classroom VPC virtual reality experience</w:t>
            </w:r>
            <w:r w:rsidR="00DB7EE9" w:rsidRPr="00DB7EE9">
              <w:rPr>
                <w:rFonts w:eastAsia="Times New Roman" w:cs="Times New Roman"/>
                <w:color w:val="000000"/>
                <w:sz w:val="18"/>
                <w:szCs w:val="18"/>
                <w:lang w:eastAsia="en-AU"/>
              </w:rPr>
              <w:t xml:space="preserve"> for Oculus Rift</w:t>
            </w:r>
          </w:p>
          <w:p w:rsidR="00DB7EE9" w:rsidRPr="00DB7EE9" w:rsidRDefault="006F2852" w:rsidP="00DB7EE9">
            <w:pPr>
              <w:pStyle w:val="ListParagraph"/>
              <w:numPr>
                <w:ilvl w:val="0"/>
                <w:numId w:val="4"/>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Virtual Plant Cell: Classroom VPC user guide </w:t>
            </w:r>
          </w:p>
          <w:p w:rsidR="00DB7EE9" w:rsidRPr="00DB7EE9" w:rsidRDefault="006F2852" w:rsidP="00DB7EE9">
            <w:pPr>
              <w:pStyle w:val="ListParagraph"/>
              <w:numPr>
                <w:ilvl w:val="0"/>
                <w:numId w:val="4"/>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Virtual Plant Cell: Classroom VPC storyboard </w:t>
            </w:r>
          </w:p>
          <w:p w:rsidR="006F2852" w:rsidRPr="00DB7EE9" w:rsidRDefault="006F2852" w:rsidP="00DB7EE9">
            <w:pPr>
              <w:pStyle w:val="ListParagraph"/>
              <w:numPr>
                <w:ilvl w:val="0"/>
                <w:numId w:val="4"/>
              </w:numPr>
              <w:rPr>
                <w:rFonts w:eastAsia="Times New Roman" w:cs="Times New Roman"/>
                <w:color w:val="000000"/>
                <w:sz w:val="18"/>
                <w:szCs w:val="18"/>
                <w:lang w:eastAsia="en-AU"/>
              </w:rPr>
            </w:pPr>
            <w:r w:rsidRPr="00DB7EE9">
              <w:rPr>
                <w:rFonts w:eastAsia="Times New Roman" w:cs="Times New Roman"/>
                <w:color w:val="000000"/>
                <w:sz w:val="18"/>
                <w:szCs w:val="18"/>
                <w:lang w:eastAsia="en-AU"/>
              </w:rPr>
              <w:t xml:space="preserve">Plant cell modelling activity, </w:t>
            </w:r>
            <w:proofErr w:type="spellStart"/>
            <w:r w:rsidRPr="00DB7EE9">
              <w:rPr>
                <w:rFonts w:eastAsia="Times New Roman" w:cs="Times New Roman"/>
                <w:color w:val="000000"/>
                <w:sz w:val="18"/>
                <w:szCs w:val="18"/>
                <w:lang w:eastAsia="en-AU"/>
              </w:rPr>
              <w:t>inc.</w:t>
            </w:r>
            <w:proofErr w:type="spellEnd"/>
            <w:r w:rsidRPr="00DB7EE9">
              <w:rPr>
                <w:rFonts w:eastAsia="Times New Roman" w:cs="Times New Roman"/>
                <w:color w:val="000000"/>
                <w:sz w:val="18"/>
                <w:szCs w:val="18"/>
                <w:lang w:eastAsia="en-AU"/>
              </w:rPr>
              <w:t xml:space="preserve"> teacher guide and student worksheets.</w:t>
            </w:r>
          </w:p>
          <w:p w:rsidR="00DB7EE9" w:rsidRPr="006F2852" w:rsidRDefault="00DB7EE9" w:rsidP="006F2852">
            <w:pPr>
              <w:ind w:left="720"/>
              <w:rPr>
                <w:rFonts w:eastAsia="Times New Roman" w:cs="Times New Roman"/>
                <w:sz w:val="18"/>
                <w:szCs w:val="18"/>
                <w:lang w:eastAsia="en-AU"/>
              </w:rPr>
            </w:pPr>
          </w:p>
          <w:p w:rsidR="006F2852" w:rsidRPr="00DB7EE9" w:rsidRDefault="006F2852" w:rsidP="006F2852">
            <w:pPr>
              <w:rPr>
                <w:rFonts w:eastAsia="Times New Roman" w:cs="Times New Roman"/>
                <w:color w:val="000000"/>
                <w:sz w:val="20"/>
                <w:szCs w:val="20"/>
                <w:lang w:eastAsia="en-AU"/>
              </w:rPr>
            </w:pPr>
            <w:r w:rsidRPr="00DB7EE9">
              <w:rPr>
                <w:rFonts w:eastAsia="Times New Roman" w:cs="Times New Roman"/>
                <w:b/>
                <w:bCs/>
                <w:color w:val="000000"/>
                <w:sz w:val="18"/>
                <w:szCs w:val="18"/>
                <w:lang w:eastAsia="en-AU"/>
              </w:rPr>
              <w:t xml:space="preserve">Curriculum alignments: </w:t>
            </w:r>
            <w:r w:rsidRPr="00DB7EE9">
              <w:rPr>
                <w:rFonts w:eastAsia="Times New Roman" w:cs="Times New Roman"/>
                <w:color w:val="000000"/>
                <w:sz w:val="18"/>
                <w:szCs w:val="18"/>
                <w:lang w:eastAsia="en-AU"/>
              </w:rPr>
              <w:t>Senior Secondary Curriculum: Biology: Unit 2: Science Understanding: ACSBL044, ACSBL045, ACSBL049, ACSBL050, ACSBL052, ACSBL053. Lower school curriculum: Biological sciences: Science Understanding: Year 8: ACSSU149, ACSSU150.</w:t>
            </w:r>
          </w:p>
        </w:tc>
      </w:tr>
    </w:tbl>
    <w:p w:rsidR="006F2852" w:rsidRPr="006F2852" w:rsidRDefault="006F2852" w:rsidP="006F2852">
      <w:pPr>
        <w:spacing w:after="0"/>
        <w:rPr>
          <w:sz w:val="20"/>
          <w:szCs w:val="20"/>
        </w:rPr>
      </w:pPr>
    </w:p>
    <w:sectPr w:rsidR="006F2852" w:rsidRPr="006F285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D3" w:rsidRDefault="00EA7AD3" w:rsidP="006F2852">
      <w:pPr>
        <w:spacing w:after="0" w:line="240" w:lineRule="auto"/>
      </w:pPr>
      <w:r>
        <w:separator/>
      </w:r>
    </w:p>
  </w:endnote>
  <w:endnote w:type="continuationSeparator" w:id="0">
    <w:p w:rsidR="00EA7AD3" w:rsidRDefault="00EA7AD3" w:rsidP="006F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E9" w:rsidRDefault="00DB7EE9">
    <w:pPr>
      <w:pStyle w:val="Footer"/>
    </w:pPr>
    <w:r w:rsidRPr="00DB7EE9">
      <w:rPr>
        <w:noProof/>
        <w:sz w:val="16"/>
        <w:szCs w:val="16"/>
        <w:lang w:eastAsia="en-AU"/>
      </w:rPr>
      <w:drawing>
        <wp:anchor distT="0" distB="0" distL="114300" distR="114300" simplePos="0" relativeHeight="251658240" behindDoc="1" locked="0" layoutInCell="1" allowOverlap="1">
          <wp:simplePos x="0" y="0"/>
          <wp:positionH relativeFrom="column">
            <wp:posOffset>1958340</wp:posOffset>
          </wp:positionH>
          <wp:positionV relativeFrom="paragraph">
            <wp:posOffset>172085</wp:posOffset>
          </wp:positionV>
          <wp:extent cx="4335780" cy="347345"/>
          <wp:effectExtent l="0" t="0" r="0" b="0"/>
          <wp:wrapThrough wrapText="bothSides">
            <wp:wrapPolygon edited="0">
              <wp:start x="0" y="0"/>
              <wp:lineTo x="0" y="17770"/>
              <wp:lineTo x="95" y="20139"/>
              <wp:lineTo x="10155" y="20139"/>
              <wp:lineTo x="21448" y="16585"/>
              <wp:lineTo x="21353" y="0"/>
              <wp:lineTo x="1424" y="0"/>
              <wp:lineTo x="0" y="0"/>
            </wp:wrapPolygon>
          </wp:wrapThrough>
          <wp:docPr id="3" name="Picture 3" descr="C:\Users\eto\Desktop\Uni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o\Desktop\Uni logos.png"/>
                  <pic:cNvPicPr>
                    <a:picLocks noChangeAspect="1" noChangeArrowheads="1"/>
                  </pic:cNvPicPr>
                </pic:nvPicPr>
                <pic:blipFill>
                  <a:blip r:embed="rId1">
                    <a:duotone>
                      <a:prstClr val="black"/>
                      <a:schemeClr val="accent3">
                        <a:tint val="45000"/>
                        <a:satMod val="400000"/>
                      </a:schemeClr>
                    </a:duotone>
                    <a:extLst>
                      <a:ext uri="{BEBA8EAE-BF5A-486C-A8C5-ECC9F3942E4B}">
                        <a14:imgProps xmlns:a14="http://schemas.microsoft.com/office/drawing/2010/main">
                          <a14:imgLayer r:embed="rId2">
                            <a14:imgEffect>
                              <a14:brightnessContrast bright="-66000" contrast="-2000"/>
                            </a14:imgEffect>
                          </a14:imgLayer>
                        </a14:imgProps>
                      </a:ext>
                      <a:ext uri="{28A0092B-C50C-407E-A947-70E740481C1C}">
                        <a14:useLocalDpi xmlns:a14="http://schemas.microsoft.com/office/drawing/2010/main" val="0"/>
                      </a:ext>
                    </a:extLst>
                  </a:blip>
                  <a:srcRect/>
                  <a:stretch>
                    <a:fillRect/>
                  </a:stretch>
                </pic:blipFill>
                <pic:spPr bwMode="auto">
                  <a:xfrm>
                    <a:off x="0" y="0"/>
                    <a:ext cx="433578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7EE9">
      <w:rPr>
        <w:noProof/>
        <w:sz w:val="16"/>
        <w:szCs w:val="16"/>
        <w:lang w:eastAsia="en-AU"/>
      </w:rPr>
      <w:drawing>
        <wp:anchor distT="0" distB="0" distL="114300" distR="114300" simplePos="0" relativeHeight="251659264" behindDoc="0" locked="0" layoutInCell="1" allowOverlap="1">
          <wp:simplePos x="0" y="0"/>
          <wp:positionH relativeFrom="column">
            <wp:posOffset>-449580</wp:posOffset>
          </wp:positionH>
          <wp:positionV relativeFrom="paragraph">
            <wp:posOffset>-152400</wp:posOffset>
          </wp:positionV>
          <wp:extent cx="1988820" cy="1089660"/>
          <wp:effectExtent l="0" t="0" r="0" b="0"/>
          <wp:wrapThrough wrapText="bothSides">
            <wp:wrapPolygon edited="0">
              <wp:start x="4138" y="0"/>
              <wp:lineTo x="0" y="4154"/>
              <wp:lineTo x="0" y="16238"/>
              <wp:lineTo x="1034" y="18126"/>
              <wp:lineTo x="3931" y="21147"/>
              <wp:lineTo x="4138" y="21147"/>
              <wp:lineTo x="6414" y="21147"/>
              <wp:lineTo x="6621" y="21147"/>
              <wp:lineTo x="9517" y="18126"/>
              <wp:lineTo x="21103" y="12084"/>
              <wp:lineTo x="21310" y="10196"/>
              <wp:lineTo x="21310" y="8308"/>
              <wp:lineTo x="11172" y="5664"/>
              <wp:lineTo x="9724" y="3399"/>
              <wp:lineTo x="6414" y="0"/>
              <wp:lineTo x="4138" y="0"/>
            </wp:wrapPolygon>
          </wp:wrapThrough>
          <wp:docPr id="4" name="Picture 4" descr="C:\Users\eto\Dropbox\PEB ETO SHARE FOLDER\Graphics, logos, photos\Centre Logos\Full Logo -Black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to\Dropbox\PEB ETO SHARE FOLDER\Graphics, logos, photos\Centre Logos\Full Logo -Black Tex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882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EE9" w:rsidRPr="00DB7EE9" w:rsidRDefault="00DB7EE9" w:rsidP="00DB7EE9">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D3" w:rsidRDefault="00EA7AD3" w:rsidP="006F2852">
      <w:pPr>
        <w:spacing w:after="0" w:line="240" w:lineRule="auto"/>
      </w:pPr>
      <w:r>
        <w:separator/>
      </w:r>
    </w:p>
  </w:footnote>
  <w:footnote w:type="continuationSeparator" w:id="0">
    <w:p w:rsidR="00EA7AD3" w:rsidRDefault="00EA7AD3" w:rsidP="006F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52" w:rsidRDefault="006F2852" w:rsidP="006F2852">
    <w:pPr>
      <w:rPr>
        <w:rStyle w:val="jsgrdq"/>
        <w:b/>
        <w:bCs/>
        <w:color w:val="26401D"/>
        <w:sz w:val="28"/>
        <w:szCs w:val="28"/>
      </w:rPr>
    </w:pPr>
    <w:r w:rsidRPr="006F2852">
      <w:rPr>
        <w:rStyle w:val="jsgrdq"/>
        <w:b/>
        <w:bCs/>
        <w:color w:val="26401D"/>
        <w:sz w:val="28"/>
        <w:szCs w:val="28"/>
      </w:rPr>
      <w:t>QUICK GUIDE: VIR</w:t>
    </w:r>
    <w:r w:rsidR="00254737">
      <w:rPr>
        <w:rStyle w:val="jsgrdq"/>
        <w:b/>
        <w:bCs/>
        <w:color w:val="26401D"/>
        <w:sz w:val="28"/>
        <w:szCs w:val="28"/>
      </w:rPr>
      <w:t>T</w:t>
    </w:r>
    <w:r w:rsidRPr="006F2852">
      <w:rPr>
        <w:rStyle w:val="jsgrdq"/>
        <w:b/>
        <w:bCs/>
        <w:color w:val="26401D"/>
        <w:sz w:val="28"/>
        <w:szCs w:val="28"/>
      </w:rPr>
      <w:t>UAL PLANT CELL TEACHING RESOURCES</w:t>
    </w:r>
  </w:p>
  <w:p w:rsidR="00DB7EE9" w:rsidRPr="00DB7EE9" w:rsidRDefault="00DB7EE9" w:rsidP="006F2852">
    <w:pPr>
      <w:rPr>
        <w:rStyle w:val="jsgrdq"/>
        <w:bCs/>
        <w:sz w:val="16"/>
        <w:szCs w:val="16"/>
      </w:rPr>
    </w:pPr>
    <w:r w:rsidRPr="00DB7EE9">
      <w:rPr>
        <w:rStyle w:val="jsgrdq"/>
        <w:bCs/>
        <w:sz w:val="16"/>
        <w:szCs w:val="16"/>
      </w:rPr>
      <w:t>Document prepared by the ARC Centre of Excellence in Plant Energy Biology</w:t>
    </w:r>
  </w:p>
  <w:p w:rsidR="006F2852" w:rsidRDefault="006F2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50341"/>
    <w:multiLevelType w:val="hybridMultilevel"/>
    <w:tmpl w:val="FEA807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20E0AA9"/>
    <w:multiLevelType w:val="hybridMultilevel"/>
    <w:tmpl w:val="709A54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58CE1F90"/>
    <w:multiLevelType w:val="hybridMultilevel"/>
    <w:tmpl w:val="15F813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95A5130"/>
    <w:multiLevelType w:val="hybridMultilevel"/>
    <w:tmpl w:val="DA9625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52"/>
    <w:rsid w:val="00243E3A"/>
    <w:rsid w:val="00254737"/>
    <w:rsid w:val="003C29C5"/>
    <w:rsid w:val="00505000"/>
    <w:rsid w:val="0066016A"/>
    <w:rsid w:val="006F2852"/>
    <w:rsid w:val="00CA008D"/>
    <w:rsid w:val="00DB7EE9"/>
    <w:rsid w:val="00EA7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85625B7-D6BE-467C-A7A9-87B7B7A8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6F2852"/>
  </w:style>
  <w:style w:type="paragraph" w:customStyle="1" w:styleId="04xlpa">
    <w:name w:val="_04xlpa"/>
    <w:basedOn w:val="Normal"/>
    <w:rsid w:val="006F28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F2852"/>
    <w:rPr>
      <w:color w:val="0000FF"/>
      <w:u w:val="single"/>
    </w:rPr>
  </w:style>
  <w:style w:type="table" w:styleId="TableGrid">
    <w:name w:val="Table Grid"/>
    <w:basedOn w:val="TableNormal"/>
    <w:uiPriority w:val="39"/>
    <w:rsid w:val="006F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2852"/>
    <w:rPr>
      <w:i/>
      <w:iCs/>
    </w:rPr>
  </w:style>
  <w:style w:type="paragraph" w:styleId="Header">
    <w:name w:val="header"/>
    <w:basedOn w:val="Normal"/>
    <w:link w:val="HeaderChar"/>
    <w:uiPriority w:val="99"/>
    <w:unhideWhenUsed/>
    <w:rsid w:val="006F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852"/>
  </w:style>
  <w:style w:type="paragraph" w:styleId="Footer">
    <w:name w:val="footer"/>
    <w:basedOn w:val="Normal"/>
    <w:link w:val="FooterChar"/>
    <w:uiPriority w:val="99"/>
    <w:unhideWhenUsed/>
    <w:rsid w:val="006F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852"/>
  </w:style>
  <w:style w:type="paragraph" w:styleId="ListParagraph">
    <w:name w:val="List Paragraph"/>
    <w:basedOn w:val="Normal"/>
    <w:uiPriority w:val="34"/>
    <w:qFormat/>
    <w:rsid w:val="006F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92617">
      <w:bodyDiv w:val="1"/>
      <w:marLeft w:val="0"/>
      <w:marRight w:val="0"/>
      <w:marTop w:val="0"/>
      <w:marBottom w:val="0"/>
      <w:divBdr>
        <w:top w:val="none" w:sz="0" w:space="0" w:color="auto"/>
        <w:left w:val="none" w:sz="0" w:space="0" w:color="auto"/>
        <w:bottom w:val="none" w:sz="0" w:space="0" w:color="auto"/>
        <w:right w:val="none" w:sz="0" w:space="0" w:color="auto"/>
      </w:divBdr>
    </w:div>
    <w:div w:id="907109568">
      <w:bodyDiv w:val="1"/>
      <w:marLeft w:val="0"/>
      <w:marRight w:val="0"/>
      <w:marTop w:val="0"/>
      <w:marBottom w:val="0"/>
      <w:divBdr>
        <w:top w:val="none" w:sz="0" w:space="0" w:color="auto"/>
        <w:left w:val="none" w:sz="0" w:space="0" w:color="auto"/>
        <w:bottom w:val="none" w:sz="0" w:space="0" w:color="auto"/>
        <w:right w:val="none" w:sz="0" w:space="0" w:color="auto"/>
      </w:divBdr>
    </w:div>
    <w:div w:id="1180774116">
      <w:bodyDiv w:val="1"/>
      <w:marLeft w:val="0"/>
      <w:marRight w:val="0"/>
      <w:marTop w:val="0"/>
      <w:marBottom w:val="0"/>
      <w:divBdr>
        <w:top w:val="none" w:sz="0" w:space="0" w:color="auto"/>
        <w:left w:val="none" w:sz="0" w:space="0" w:color="auto"/>
        <w:bottom w:val="none" w:sz="0" w:space="0" w:color="auto"/>
        <w:right w:val="none" w:sz="0" w:space="0" w:color="auto"/>
      </w:divBdr>
    </w:div>
    <w:div w:id="1523010297">
      <w:bodyDiv w:val="1"/>
      <w:marLeft w:val="0"/>
      <w:marRight w:val="0"/>
      <w:marTop w:val="0"/>
      <w:marBottom w:val="0"/>
      <w:divBdr>
        <w:top w:val="none" w:sz="0" w:space="0" w:color="auto"/>
        <w:left w:val="none" w:sz="0" w:space="0" w:color="auto"/>
        <w:bottom w:val="none" w:sz="0" w:space="0" w:color="auto"/>
        <w:right w:val="none" w:sz="0" w:space="0" w:color="auto"/>
      </w:divBdr>
    </w:div>
    <w:div w:id="1889300773">
      <w:bodyDiv w:val="1"/>
      <w:marLeft w:val="0"/>
      <w:marRight w:val="0"/>
      <w:marTop w:val="0"/>
      <w:marBottom w:val="0"/>
      <w:divBdr>
        <w:top w:val="none" w:sz="0" w:space="0" w:color="auto"/>
        <w:left w:val="none" w:sz="0" w:space="0" w:color="auto"/>
        <w:bottom w:val="none" w:sz="0" w:space="0" w:color="auto"/>
        <w:right w:val="none" w:sz="0" w:space="0" w:color="auto"/>
      </w:divBdr>
    </w:div>
    <w:div w:id="21268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counts.cc/r/plant-energy-biology/2019/" TargetMode="External"/><Relationship Id="rId13" Type="http://schemas.openxmlformats.org/officeDocument/2006/relationships/hyperlink" Target="https://culturecounts.cc/r/plant-energy-biology/2019/" TargetMode="External"/><Relationship Id="rId18" Type="http://schemas.openxmlformats.org/officeDocument/2006/relationships/hyperlink" Target="https://plantenergy.edu.au/outreach/resources/vpc-into-aquapori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ulturecounts.cc/r/plant-energy-biology/2019/" TargetMode="External"/><Relationship Id="rId12" Type="http://schemas.openxmlformats.org/officeDocument/2006/relationships/hyperlink" Target="https://culturecounts.cc/r/plant-energy-biology/2019/" TargetMode="External"/><Relationship Id="rId17" Type="http://schemas.openxmlformats.org/officeDocument/2006/relationships/hyperlink" Target="https://plantenergy.edu.au/outreach/resources/vpc-drought-proof" TargetMode="External"/><Relationship Id="rId2" Type="http://schemas.openxmlformats.org/officeDocument/2006/relationships/styles" Target="styles.xml"/><Relationship Id="rId16" Type="http://schemas.openxmlformats.org/officeDocument/2006/relationships/hyperlink" Target="https://plantenergy.edu.au/outreach/resources/vpc-cell-explore" TargetMode="External"/><Relationship Id="rId20" Type="http://schemas.openxmlformats.org/officeDocument/2006/relationships/hyperlink" Target="https://plantenergy.edu.au/outreach/resources/classroom-vpc-rif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ecounts.cc/r/plant-energy-biology/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tenergy.edu.au/outreach/resources" TargetMode="External"/><Relationship Id="rId23" Type="http://schemas.openxmlformats.org/officeDocument/2006/relationships/fontTable" Target="fontTable.xml"/><Relationship Id="rId10" Type="http://schemas.openxmlformats.org/officeDocument/2006/relationships/hyperlink" Target="https://culturecounts.cc/r/plant-energy-biology/2019/" TargetMode="External"/><Relationship Id="rId19" Type="http://schemas.openxmlformats.org/officeDocument/2006/relationships/hyperlink" Target="https://plantenergy.edu.au/outreach/resources/vpc-phosphate-focus" TargetMode="External"/><Relationship Id="rId4" Type="http://schemas.openxmlformats.org/officeDocument/2006/relationships/webSettings" Target="webSettings.xml"/><Relationship Id="rId9" Type="http://schemas.openxmlformats.org/officeDocument/2006/relationships/hyperlink" Target="https://culturecounts.cc/r/plant-energy-biology/2019/" TargetMode="External"/><Relationship Id="rId14" Type="http://schemas.openxmlformats.org/officeDocument/2006/relationships/hyperlink" Target="https://culturecounts.cc/r/plant-energy-biology/201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dc:creator>
  <cp:keywords/>
  <dc:description/>
  <cp:lastModifiedBy>Frances Hoyle</cp:lastModifiedBy>
  <cp:revision>2</cp:revision>
  <dcterms:created xsi:type="dcterms:W3CDTF">2020-04-06T05:17:00Z</dcterms:created>
  <dcterms:modified xsi:type="dcterms:W3CDTF">2020-04-06T05:17:00Z</dcterms:modified>
</cp:coreProperties>
</file>